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TECHNICAL ANNEXURE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0"/>
        </w:rPr>
        <w:t>AWS Data Platform Reliability &amp; Evidence Appendix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Deep-Dive Technical Audit Protocols for Amazon MWAA, AWS Glue, EMR &amp; Redshift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E3A8A"/>
                <w:sz w:val="17"/>
              </w:rPr>
              <w:t>AWS AUDIT PROTOCOL</w:t>
              <w:br/>
            </w:r>
            <w:r>
              <w:rPr>
                <w:rFonts w:ascii="Segoe UI" w:hAnsi="Segoe UI"/>
                <w:color w:val="0F172A"/>
                <w:sz w:val="17"/>
              </w:rPr>
              <w:t>AUDIT SCOPE: This appendix specifies the AWS-native logs, metrics, IAM policies, and architecture artifacts inspected during Vithi's DataOps diagnostic. All data is collected under pre-configured AWS SecurityAudit and ViewOnlyAccess roles with zero access to underlying customer payload records.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2"/>
        </w:rPr>
        <w:t>1. AWS Data Platform Evidence Mapping (DEV01–DEV12)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Universal Evidence Artifact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Topology &amp; Data Catalog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Glue Data Catalog databases, table schemas, classification tags, and Step Functions state machine JSON definitions.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DEV02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Orchestration Code &amp; DAG Definitions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Amazon MWAA (Managed Workflows for Apache Airflow) DAG repository in S3, requirements.txt, and airflow.cfg.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Execution Logs (90 Days)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Log Groups (/aws/mwaa, /aws/glue/jobs, /aws/emr), driver stdout/stderr logs in S3.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DEV04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Quality &amp; Schema Rules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Glue Data Quality rulesets, Great Expectations checkpoint files, and Lambda data validation triggers.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Schema Evolution &amp; Drift History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Glue Schema Registry compatibility configurations (BACKWARD / FULL), Delta Lake transaction logs, Apache Iceberg metadata.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DEV06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SLA &amp; Freshness Metric Monitors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Alarms for task failure, duration anomaly, EventBridge rules for MWAA SLA miss callback triggers.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DEV07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Post-Mortems &amp; RCA Records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Jira Service Management tickets for data pipeline outages, Confluence post-incident reviews (PIRs).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DEV08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Operational Runbooks &amp; SOPs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 runbook repository, AWS Systems Manager (SSM) automation runbooks for pipeline retry and restart.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DEV09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Replay, Backfill &amp; Retry Scripts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backfill CLI scripts, Lambda replay event handlers, Redshift idempotent staging table MERGE scripts.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DEV10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CI/CD Data Pipeline Testing Suites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CodePipeline / GitHub Actions workflows, pytest suites, SQLFluff rules, dbt test suites for analytical models.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Lineage &amp; Telemetry Tracing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OpenLineage integrations with MWAA, AWS Glue lineage tracking, DataHub / Apache Atlas catalog lineage.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DEV12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Resource Saturation &amp; Compute Metrics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Cost &amp; Usage Reports (CUR), EMR CloudWatch metrics (YARNMemoryAvailablePercentage), Redshift WLM concurrency queues.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2"/>
        </w:rPr>
        <w:t>2. AWS Component Deep-Dive Inspection Protocols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Amazon MWAA (Managed Workflows for Apache Airflow)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Task Duration Variance: </w:t>
      </w:r>
      <w:r>
        <w:rPr>
          <w:rFonts w:ascii="Segoe UI" w:hAnsi="Segoe UI"/>
          <w:color w:val="0F172A"/>
          <w:sz w:val="18"/>
        </w:rPr>
        <w:t>Inspect execution duration variance across task instances to identify compute saturation and scheduler bottlenecks.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SLA Miss Callbacks: </w:t>
      </w:r>
      <w:r>
        <w:rPr>
          <w:rFonts w:ascii="Segoe UI" w:hAnsi="Segoe UI"/>
          <w:color w:val="0F172A"/>
          <w:sz w:val="18"/>
        </w:rPr>
        <w:t>Verify whether automated SLA miss callbacks (sla_miss_callback) fire alerts before downstream business impact.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Connection &amp; Pool Contention: </w:t>
      </w:r>
      <w:r>
        <w:rPr>
          <w:rFonts w:ascii="Segoe UI" w:hAnsi="Segoe UI"/>
          <w:color w:val="0F172A"/>
          <w:sz w:val="18"/>
        </w:rPr>
        <w:t>Audit Airflow connection pooling and worker concurrency slots to eliminate scheduler task starvation.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AWS Glue &amp; Amazon EMR (Spark Data Processing)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Executor Memory &amp; Spill: </w:t>
      </w:r>
      <w:r>
        <w:rPr>
          <w:rFonts w:ascii="Segoe UI" w:hAnsi="Segoe UI"/>
          <w:color w:val="0F172A"/>
          <w:sz w:val="18"/>
        </w:rPr>
        <w:t>Audit Glue job execution logs for skew, driver memory exhaustion, and executor shuffle spillages.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Job Bookmarks &amp; State Tracking: </w:t>
      </w:r>
      <w:r>
        <w:rPr>
          <w:rFonts w:ascii="Segoe UI" w:hAnsi="Segoe UI"/>
          <w:color w:val="0F172A"/>
          <w:sz w:val="18"/>
        </w:rPr>
        <w:t>Verify job bookmark enablement and S3 manifest tracking to prevent reprocessing duplicate data blocks.</w:t>
      </w:r>
    </w:p>
    <w:p>
      <w:pPr>
        <w:keepNext/>
        <w:spacing w:before="120" w:after="40"/>
      </w:pPr>
      <w:r>
        <w:rPr>
          <w:rFonts w:ascii="Segoe UI" w:hAnsi="Segoe UI"/>
          <w:b/>
          <w:color w:val="334155"/>
          <w:sz w:val="19"/>
        </w:rPr>
        <w:t>Amazon Redshift &amp; Data Warehousing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WLM Queue Health: </w:t>
      </w:r>
      <w:r>
        <w:rPr>
          <w:rFonts w:ascii="Segoe UI" w:hAnsi="Segoe UI"/>
          <w:color w:val="0F172A"/>
          <w:sz w:val="18"/>
        </w:rPr>
        <w:t>Inspect Workload Management (WLM) queues for query queuing, spill-to-disk events, and concurrency scaling.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Distribution &amp; Sort Key Hygiene: </w:t>
      </w:r>
      <w:r>
        <w:rPr>
          <w:rFonts w:ascii="Segoe UI" w:hAnsi="Segoe UI"/>
          <w:color w:val="0F172A"/>
          <w:sz w:val="18"/>
        </w:rPr>
        <w:t>Audit table distribution styles (KEY, EVEN, ALL) and sort keys to identify table scan bottlenecks.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5"/>
      </w:rPr>
      <w:t>Critical Data Pipeline Reliability Assessment | AWS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5"/>
      </w:rPr>
      <w:t>VITHI IT SOLUTIONS | DATAOPS PRACTICE | AWS ANNEXURE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