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16"/>
        </w:rPr>
        <w:t>TECHNICAL ANNEXURE | VITHI DATAOPS PRACTICE</w:t>
      </w:r>
    </w:p>
    <w:p>
      <w:pPr>
        <w:spacing w:before="0" w:after="40"/>
      </w:pPr>
      <w:r>
        <w:rPr>
          <w:rFonts w:ascii="Segoe UI" w:hAnsi="Segoe UI"/>
          <w:b/>
          <w:color w:val="0F172A"/>
          <w:sz w:val="30"/>
        </w:rPr>
        <w:t>Microsoft Azure Data Platform Reliability &amp; Evidence Appendix</w:t>
      </w:r>
    </w:p>
    <w:p>
      <w:pPr>
        <w:spacing w:before="0" w:after="160"/>
      </w:pPr>
      <w:r>
        <w:rPr>
          <w:rFonts w:ascii="Segoe UI" w:hAnsi="Segoe UI"/>
          <w:i/>
          <w:color w:val="64748B"/>
          <w:sz w:val="19"/>
        </w:rPr>
        <w:t>Deep-Dive Technical Audit Protocols for Azure Data Factory, Synapse, Databricks &amp; Fabric</w:t>
      </w:r>
    </w:p>
    <w:tbl>
      <w:tblPr>
        <w:tblW w:type="auto" w:w="0"/>
        <w:jc w:val="center"/>
        <w:tblLook w:firstColumn="1" w:firstRow="1" w:lastColumn="0" w:lastRow="0" w:noHBand="0" w:noVBand="1" w:val="04A0"/>
      </w:tblPr>
      <w:tblGrid>
        <w:gridCol w:w="10224"/>
      </w:tblGrid>
      <w:tr>
        <w:tc>
          <w:tcPr>
            <w:tcW w:type="dxa" w:w="10224"/>
            <w:shd w:fill="EFF6FF"/>
            <w:tcMar>
              <w:top w:w="80" w:type="dxa"/>
              <w:bottom w:w="80" w:type="dxa"/>
              <w:left w:w="120" w:type="dxa"/>
              <w:right w:w="120" w:type="dxa"/>
            </w:tcMar>
            <w:tcBorders>
              <w:left w:val="single" w:sz="24" w:space="0" w:color="1E3A8A"/>
              <w:top w:val="none"/>
              <w:right w:val="none"/>
              <w:bottom w:val="none"/>
            </w:tcBorders>
          </w:tcPr>
          <w:p>
            <w:pPr>
              <w:spacing w:before="0" w:after="0"/>
            </w:pPr>
            <w:r>
              <w:rPr>
                <w:rFonts w:ascii="Segoe UI" w:hAnsi="Segoe UI"/>
                <w:b/>
                <w:color w:val="1E3A8A"/>
                <w:sz w:val="17"/>
              </w:rPr>
              <w:t>AZURE AUDIT PROTOCOL</w:t>
              <w:br/>
            </w:r>
            <w:r>
              <w:rPr>
                <w:rFonts w:ascii="Segoe UI" w:hAnsi="Segoe UI"/>
                <w:color w:val="0F172A"/>
                <w:sz w:val="17"/>
              </w:rPr>
              <w:t>AUDIT SCOPE: This appendix outlines audit procedures across Azure Data Factory (ADF), Azure Synapse Analytics, Azure Databricks, and Microsoft Fabric. Inspections are conducted via Azure Reader role and Log Analytics workspace queries with zero disruption to active batch runs.</w:t>
            </w:r>
          </w:p>
        </w:tc>
      </w:tr>
    </w:tbl>
    <w:p>
      <w:pPr>
        <w:spacing w:after="40"/>
      </w:pPr>
    </w:p>
    <w:p>
      <w:pPr>
        <w:keepNext/>
        <w:spacing w:before="200" w:after="60"/>
      </w:pPr>
      <w:r>
        <w:rPr>
          <w:rFonts w:ascii="Segoe UI" w:hAnsi="Segoe UI"/>
          <w:b/>
          <w:color w:val="1E3A8A"/>
          <w:sz w:val="22"/>
        </w:rPr>
        <w:t>1. Azure Data Platform Evidence Mapping (DEV01–DEV12)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408"/>
        <w:gridCol w:w="3408"/>
        <w:gridCol w:w="3408"/>
      </w:tblGrid>
      <w:tr>
        <w:trPr>
          <w:tblHeader/>
          <w:cantSplit/>
        </w:trPr>
        <w:tc>
          <w:tcPr>
            <w:tcW w:type="dxa" w:w="3408"/>
            <w:shd w:fill="334155"/>
            <w:tcMar>
              <w:top w:w="100" w:type="dxa"/>
              <w:bottom w:w="100" w:type="dxa"/>
              <w:left w:w="100" w:type="dxa"/>
              <w:right w:w="100" w:type="dxa"/>
            </w:tcMar>
          </w:tcPr>
          <w:p>
            <w:pPr>
              <w:spacing w:before="0" w:after="0"/>
              <w:jc w:val="left"/>
            </w:pPr>
            <w:r>
              <w:rPr>
                <w:rFonts w:ascii="Segoe UI" w:hAnsi="Segoe UI"/>
                <w:b/>
                <w:color w:val="FFFFFF"/>
                <w:sz w:val="17"/>
              </w:rPr>
              <w:t>Evidence ID</w:t>
            </w:r>
          </w:p>
        </w:tc>
        <w:tc>
          <w:tcPr>
            <w:tcW w:type="dxa" w:w="3408"/>
            <w:shd w:fill="334155"/>
            <w:tcMar>
              <w:top w:w="100" w:type="dxa"/>
              <w:bottom w:w="100" w:type="dxa"/>
              <w:left w:w="100" w:type="dxa"/>
              <w:right w:w="100" w:type="dxa"/>
            </w:tcMar>
          </w:tcPr>
          <w:p>
            <w:pPr>
              <w:spacing w:before="0" w:after="0"/>
              <w:jc w:val="left"/>
            </w:pPr>
            <w:r>
              <w:rPr>
                <w:rFonts w:ascii="Segoe UI" w:hAnsi="Segoe UI"/>
                <w:b/>
                <w:color w:val="FFFFFF"/>
                <w:sz w:val="17"/>
              </w:rPr>
              <w:t>Universal Evidence Artifact</w:t>
            </w:r>
          </w:p>
        </w:tc>
        <w:tc>
          <w:tcPr>
            <w:tcW w:type="dxa" w:w="3408"/>
            <w:shd w:fill="334155"/>
            <w:tcMar>
              <w:top w:w="100" w:type="dxa"/>
              <w:bottom w:w="100" w:type="dxa"/>
              <w:left w:w="100" w:type="dxa"/>
              <w:right w:w="100" w:type="dxa"/>
            </w:tcMar>
          </w:tcPr>
          <w:p>
            <w:pPr>
              <w:spacing w:before="0" w:after="0"/>
              <w:jc w:val="left"/>
            </w:pPr>
            <w:r>
              <w:rPr>
                <w:rFonts w:ascii="Segoe UI" w:hAnsi="Segoe UI"/>
                <w:b/>
                <w:color w:val="FFFFFF"/>
                <w:sz w:val="17"/>
              </w:rPr>
              <w:t>Platform-Specific Telemetry Sources &amp; Audit Scope</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DEV01</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Pipeline Topology &amp; Data Catalog</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Microsoft Purview data catalog, Azure Data Factory pipeline JSON definitions, and Azure Synapse pipeline graphs.</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DEV02</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Orchestration Code &amp; DAG Definitions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ADF Git integration repo, Azure DevOps pipeline definitions, Synapse trigger configurations, and Databricks Jobs JSON.</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DEV03</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Pipeline Execution Logs (90 Days)</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Azure Monitor Log Analytics workspace (ADFPipelineRun, ADFActivityRun, SynapseRbacOperations), Databricks cluster logs in ADLS Gen2.</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DEV04</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Data Quality &amp; Schema Rules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Great Expectations test suites, Soda Core YAML files, Azure Databricks Delta Live Tables (DLT) expectations rulesets.</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DEV05</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Schema Evolution &amp; Drift History</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Delta Lake transaction logs (_delta_log/), Synapse table history, Event Hubs schema registry configurations.</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DEV06</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SLA &amp; Freshness Metric Monitors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Azure Monitor alert rules, Action Groups (PagerDuty / Teams integration), ADF tumbling window trigger delay metrics.</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DEV07</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Incident Post-Mortems &amp; RCA Records</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Azure DevOps boards incident tracking, Jira Service Management tickets, post-mortem incident documentation.</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DEV08</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Operational Runbooks &amp; SOPs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Azure Automation runbooks, markdown operational runbooks in engineering repositories for ADF pipeline restarts.</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DEV09</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Replay, Backfill &amp; Retry Scripts</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ADF tumbling window rerun mechanics, Databricks partition backfill notebooks, Delta Lake RESTORE TABLE commands.</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DEV10</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CI/CD Data Pipeline Testing Suites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Azure DevOps pipelines, GitHub Actions workflows for ADF ARM template deployment, pytest suites for Databricks notebooks.</w:t>
            </w:r>
          </w:p>
        </w:tc>
      </w:tr>
      <w:tr>
        <w:trPr>
          <w:cantSplit/>
        </w:trPr>
        <w:tc>
          <w:tcPr>
            <w:tcW w:type="dxa" w:w="3408"/>
            <w:shd w:fill="FFFFFF"/>
            <w:tcMar>
              <w:top w:w="60" w:type="dxa"/>
              <w:bottom w:w="60" w:type="dxa"/>
              <w:left w:w="80" w:type="dxa"/>
              <w:right w:w="80" w:type="dxa"/>
            </w:tcMar>
          </w:tcPr>
          <w:p>
            <w:pPr>
              <w:spacing w:before="0" w:after="0"/>
              <w:jc w:val="center"/>
            </w:pPr>
            <w:r>
              <w:rPr>
                <w:rFonts w:ascii="Segoe UI" w:hAnsi="Segoe UI"/>
                <w:b/>
                <w:color w:val="1E3A8A"/>
                <w:sz w:val="17"/>
              </w:rPr>
              <w:t>DEV11</w:t>
            </w:r>
          </w:p>
        </w:tc>
        <w:tc>
          <w:tcPr>
            <w:tcW w:type="dxa" w:w="3408"/>
            <w:shd w:fill="FFFFFF"/>
            <w:tcMar>
              <w:top w:w="60" w:type="dxa"/>
              <w:bottom w:w="60" w:type="dxa"/>
              <w:left w:w="80" w:type="dxa"/>
              <w:right w:w="80" w:type="dxa"/>
            </w:tcMar>
          </w:tcPr>
          <w:p>
            <w:pPr>
              <w:spacing w:before="0" w:after="0"/>
            </w:pPr>
            <w:r>
              <w:rPr>
                <w:rFonts w:ascii="Segoe UI" w:hAnsi="Segoe UI"/>
                <w:b/>
                <w:color w:val="0F172A"/>
                <w:sz w:val="17"/>
              </w:rPr>
              <w:t>Data Lineage &amp; Telemetry Tracing</w:t>
            </w:r>
          </w:p>
        </w:tc>
        <w:tc>
          <w:tcPr>
            <w:tcW w:type="dxa" w:w="3408"/>
            <w:shd w:fill="FFFFFF"/>
            <w:tcMar>
              <w:top w:w="60" w:type="dxa"/>
              <w:bottom w:w="60" w:type="dxa"/>
              <w:left w:w="80" w:type="dxa"/>
              <w:right w:w="80" w:type="dxa"/>
            </w:tcMar>
          </w:tcPr>
          <w:p>
            <w:pPr>
              <w:spacing w:before="0" w:after="0"/>
            </w:pPr>
            <w:r>
              <w:rPr>
                <w:rFonts w:ascii="Segoe UI" w:hAnsi="Segoe UI"/>
                <w:color w:val="0F172A"/>
                <w:sz w:val="17"/>
              </w:rPr>
              <w:t>Microsoft Purview automated lineage extraction, OpenLineage integration with Azure Databricks, Unity Catalog lineage.</w:t>
            </w:r>
          </w:p>
        </w:tc>
      </w:tr>
      <w:tr>
        <w:trPr>
          <w:cantSplit/>
        </w:trPr>
        <w:tc>
          <w:tcPr>
            <w:tcW w:type="dxa" w:w="3408"/>
            <w:shd w:fill="F8FAFC"/>
            <w:tcMar>
              <w:top w:w="60" w:type="dxa"/>
              <w:bottom w:w="60" w:type="dxa"/>
              <w:left w:w="80" w:type="dxa"/>
              <w:right w:w="80" w:type="dxa"/>
            </w:tcMar>
          </w:tcPr>
          <w:p>
            <w:pPr>
              <w:spacing w:before="0" w:after="0"/>
              <w:jc w:val="center"/>
            </w:pPr>
            <w:r>
              <w:rPr>
                <w:rFonts w:ascii="Segoe UI" w:hAnsi="Segoe UI"/>
                <w:b/>
                <w:color w:val="1E3A8A"/>
                <w:sz w:val="17"/>
              </w:rPr>
              <w:t>DEV12</w:t>
            </w:r>
          </w:p>
        </w:tc>
        <w:tc>
          <w:tcPr>
            <w:tcW w:type="dxa" w:w="3408"/>
            <w:shd w:fill="F8FAFC"/>
            <w:tcMar>
              <w:top w:w="60" w:type="dxa"/>
              <w:bottom w:w="60" w:type="dxa"/>
              <w:left w:w="80" w:type="dxa"/>
              <w:right w:w="80" w:type="dxa"/>
            </w:tcMar>
          </w:tcPr>
          <w:p>
            <w:pPr>
              <w:spacing w:before="0" w:after="0"/>
            </w:pPr>
            <w:r>
              <w:rPr>
                <w:rFonts w:ascii="Segoe UI" w:hAnsi="Segoe UI"/>
                <w:b/>
                <w:color w:val="0F172A"/>
                <w:sz w:val="17"/>
              </w:rPr>
              <w:t>Resource Saturation &amp; Compute Metrics</w:t>
            </w:r>
          </w:p>
        </w:tc>
        <w:tc>
          <w:tcPr>
            <w:tcW w:type="dxa" w:w="3408"/>
            <w:shd w:fill="F8FAFC"/>
            <w:tcMar>
              <w:top w:w="60" w:type="dxa"/>
              <w:bottom w:w="60" w:type="dxa"/>
              <w:left w:w="80" w:type="dxa"/>
              <w:right w:w="80" w:type="dxa"/>
            </w:tcMar>
          </w:tcPr>
          <w:p>
            <w:pPr>
              <w:spacing w:before="0" w:after="0"/>
            </w:pPr>
            <w:r>
              <w:rPr>
                <w:rFonts w:ascii="Segoe UI" w:hAnsi="Segoe UI"/>
                <w:color w:val="0F172A"/>
                <w:sz w:val="17"/>
              </w:rPr>
              <w:t>Azure Cost Management data, Synapse DWU utilization metrics, Databricks DBU consumption and cluster node autoscaling.</w:t>
            </w:r>
          </w:p>
        </w:tc>
      </w:tr>
    </w:tbl>
    <w:p>
      <w:pPr>
        <w:spacing w:after="40"/>
      </w:pPr>
    </w:p>
    <w:p>
      <w:pPr>
        <w:keepNext/>
        <w:spacing w:before="200" w:after="60"/>
      </w:pPr>
      <w:r>
        <w:rPr>
          <w:rFonts w:ascii="Segoe UI" w:hAnsi="Segoe UI"/>
          <w:b/>
          <w:color w:val="1E3A8A"/>
          <w:sz w:val="22"/>
        </w:rPr>
        <w:t>2. Azure Component Deep-Dive Inspection Protocols</w:t>
      </w:r>
    </w:p>
    <w:p>
      <w:pPr>
        <w:keepNext/>
        <w:spacing w:before="120" w:after="40"/>
      </w:pPr>
      <w:r>
        <w:rPr>
          <w:rFonts w:ascii="Segoe UI" w:hAnsi="Segoe UI"/>
          <w:b/>
          <w:color w:val="334155"/>
          <w:sz w:val="19"/>
        </w:rPr>
        <w:t>Azure Data Factory (ADF) &amp; Synapse Pipelines</w:t>
      </w:r>
    </w:p>
    <w:p>
      <w:pPr>
        <w:pStyle w:val="ListBullet"/>
        <w:spacing w:before="0" w:after="40" w:line="276" w:lineRule="auto"/>
      </w:pPr>
      <w:r>
        <w:rPr>
          <w:rFonts w:ascii="Segoe UI" w:hAnsi="Segoe UI"/>
          <w:b/>
          <w:color w:val="0F172A"/>
          <w:sz w:val="18"/>
        </w:rPr>
        <w:t xml:space="preserve">Pipeline Activity Concurrency: </w:t>
      </w:r>
      <w:r>
        <w:rPr>
          <w:rFonts w:ascii="Segoe UI" w:hAnsi="Segoe UI"/>
          <w:color w:val="0F172A"/>
          <w:sz w:val="18"/>
        </w:rPr>
        <w:t>Audit tumbling window triggers, retry policies, and concurrency limits across parallel pipeline activities.</w:t>
      </w:r>
    </w:p>
    <w:p>
      <w:pPr>
        <w:pStyle w:val="ListBullet"/>
        <w:spacing w:before="0" w:after="40" w:line="276" w:lineRule="auto"/>
      </w:pPr>
      <w:r>
        <w:rPr>
          <w:rFonts w:ascii="Segoe UI" w:hAnsi="Segoe UI"/>
          <w:b/>
          <w:color w:val="0F172A"/>
          <w:sz w:val="18"/>
        </w:rPr>
        <w:t xml:space="preserve">SHIR Node Saturation: </w:t>
      </w:r>
      <w:r>
        <w:rPr>
          <w:rFonts w:ascii="Segoe UI" w:hAnsi="Segoe UI"/>
          <w:color w:val="0F172A"/>
          <w:sz w:val="18"/>
        </w:rPr>
        <w:t>Inspect Self-Hosted Integration Runtime (SHIR) CPU, memory, and queue concurrency during on-premise data copy operations.</w:t>
      </w:r>
    </w:p>
    <w:p>
      <w:pPr>
        <w:keepNext/>
        <w:spacing w:before="120" w:after="40"/>
      </w:pPr>
      <w:r>
        <w:rPr>
          <w:rFonts w:ascii="Segoe UI" w:hAnsi="Segoe UI"/>
          <w:b/>
          <w:color w:val="334155"/>
          <w:sz w:val="19"/>
        </w:rPr>
        <w:t>Azure Databricks &amp; Delta Lake</w:t>
      </w:r>
    </w:p>
    <w:p>
      <w:pPr>
        <w:pStyle w:val="ListBullet"/>
        <w:spacing w:before="0" w:after="40" w:line="276" w:lineRule="auto"/>
      </w:pPr>
      <w:r>
        <w:rPr>
          <w:rFonts w:ascii="Segoe UI" w:hAnsi="Segoe UI"/>
          <w:b/>
          <w:color w:val="0F172A"/>
          <w:sz w:val="18"/>
        </w:rPr>
        <w:t xml:space="preserve">DLT Expectation Rules: </w:t>
      </w:r>
      <w:r>
        <w:rPr>
          <w:rFonts w:ascii="Segoe UI" w:hAnsi="Segoe UI"/>
          <w:color w:val="0F172A"/>
          <w:sz w:val="18"/>
        </w:rPr>
        <w:t>Evaluate Delta Live Tables (DLT) expectations (expect, expect_or_fail, expect_or_drop) to ensure corrupt rows do not corrupt target marts.</w:t>
      </w:r>
    </w:p>
    <w:p>
      <w:pPr>
        <w:pStyle w:val="ListBullet"/>
        <w:spacing w:before="0" w:after="40" w:line="276" w:lineRule="auto"/>
      </w:pPr>
      <w:r>
        <w:rPr>
          <w:rFonts w:ascii="Segoe UI" w:hAnsi="Segoe UI"/>
          <w:b/>
          <w:color w:val="0F172A"/>
          <w:sz w:val="18"/>
        </w:rPr>
        <w:t xml:space="preserve">Table Compaction &amp; Optimization: </w:t>
      </w:r>
      <w:r>
        <w:rPr>
          <w:rFonts w:ascii="Segoe UI" w:hAnsi="Segoe UI"/>
          <w:color w:val="0F172A"/>
          <w:sz w:val="18"/>
        </w:rPr>
        <w:t>Audit Delta Lake compaction (OPTIMIZE, Z-ORDER) and VACUUM retention schedules to prevent query degradation.</w:t>
      </w:r>
    </w:p>
    <w:p>
      <w:pPr>
        <w:keepNext/>
        <w:spacing w:before="120" w:after="40"/>
      </w:pPr>
      <w:r>
        <w:rPr>
          <w:rFonts w:ascii="Segoe UI" w:hAnsi="Segoe UI"/>
          <w:b/>
          <w:color w:val="334155"/>
          <w:sz w:val="19"/>
        </w:rPr>
        <w:t>Microsoft Fabric &amp; OneLake</w:t>
      </w:r>
    </w:p>
    <w:p>
      <w:pPr>
        <w:pStyle w:val="ListBullet"/>
        <w:spacing w:before="0" w:after="40" w:line="276" w:lineRule="auto"/>
      </w:pPr>
      <w:r>
        <w:rPr>
          <w:rFonts w:ascii="Segoe UI" w:hAnsi="Segoe UI"/>
          <w:b/>
          <w:color w:val="0F172A"/>
          <w:sz w:val="18"/>
        </w:rPr>
        <w:t xml:space="preserve">Capacity Smoothing &amp; Throttling: </w:t>
      </w:r>
      <w:r>
        <w:rPr>
          <w:rFonts w:ascii="Segoe UI" w:hAnsi="Segoe UI"/>
          <w:color w:val="0F172A"/>
          <w:sz w:val="18"/>
        </w:rPr>
        <w:t>Review Fabric Capacity Units (CU) utilization, throttling events, and interactive vs background smoothing consumption.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5"/>
      </w:rPr>
      <w:t>Critical Data Pipeline Reliability Assessment | Azure Ecosystem Annexure | v2.0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5"/>
      </w:rPr>
      <w:t>VITHI IT SOLUTIONS | DATAOPS PRACTICE | AZURE ANNEXURE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