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2563EB"/>
          <w:sz w:val="16"/>
        </w:rPr>
        <w:t>TECHNICAL ANNEXURE | VITHI DATAOPS PRACTICE</w:t>
      </w:r>
    </w:p>
    <w:p>
      <w:pPr>
        <w:spacing w:before="0" w:after="40"/>
      </w:pPr>
      <w:r>
        <w:rPr>
          <w:rFonts w:ascii="Segoe UI" w:hAnsi="Segoe UI"/>
          <w:b/>
          <w:color w:val="0F172A"/>
          <w:sz w:val="30"/>
        </w:rPr>
        <w:t>Google Cloud Data Platform Reliability &amp; Evidence Appendix</w:t>
      </w:r>
    </w:p>
    <w:p>
      <w:pPr>
        <w:spacing w:before="0" w:after="160"/>
      </w:pPr>
      <w:r>
        <w:rPr>
          <w:rFonts w:ascii="Segoe UI" w:hAnsi="Segoe UI"/>
          <w:i/>
          <w:color w:val="64748B"/>
          <w:sz w:val="19"/>
        </w:rPr>
        <w:t>Deep-Dive Technical Audit Protocols for BigQuery, Cloud Composer, Dataflow &amp; Dataplex</w:t>
      </w:r>
    </w:p>
    <w:tbl>
      <w:tblPr>
        <w:tblW w:type="auto" w:w="0"/>
        <w:jc w:val="center"/>
        <w:tblLook w:firstColumn="1" w:firstRow="1" w:lastColumn="0" w:lastRow="0" w:noHBand="0" w:noVBand="1" w:val="04A0"/>
      </w:tblPr>
      <w:tblGrid>
        <w:gridCol w:w="10224"/>
      </w:tblGrid>
      <w:tr>
        <w:tc>
          <w:tcPr>
            <w:tcW w:type="dxa" w:w="10224"/>
            <w:shd w:fill="EFF6FF"/>
            <w:tcMar>
              <w:top w:w="80" w:type="dxa"/>
              <w:bottom w:w="80" w:type="dxa"/>
              <w:left w:w="120" w:type="dxa"/>
              <w:right w:w="120" w:type="dxa"/>
            </w:tcMar>
            <w:tcBorders>
              <w:left w:val="single" w:sz="24" w:space="0" w:color="1E3A8A"/>
              <w:top w:val="none"/>
              <w:right w:val="none"/>
              <w:bottom w:val="none"/>
            </w:tcBorders>
          </w:tcPr>
          <w:p>
            <w:pPr>
              <w:spacing w:before="0" w:after="0"/>
            </w:pPr>
            <w:r>
              <w:rPr>
                <w:rFonts w:ascii="Segoe UI" w:hAnsi="Segoe UI"/>
                <w:b/>
                <w:color w:val="1E3A8A"/>
                <w:sz w:val="17"/>
              </w:rPr>
              <w:t>GCP AUDIT PROTOCOL</w:t>
              <w:br/>
            </w:r>
            <w:r>
              <w:rPr>
                <w:rFonts w:ascii="Segoe UI" w:hAnsi="Segoe UI"/>
                <w:color w:val="0F172A"/>
                <w:sz w:val="17"/>
              </w:rPr>
              <w:t>AUDIT SCOPE: This appendix specifies diagnostic protocols for Google Cloud Platform data platforms, focusing on BigQuery, Cloud Composer (Airflow), Dataflow, Dataproc, and Dataplex. Audits execute via Viewer and BigQuery Metadata Viewer IAM roles under strict read-only parameters.</w:t>
            </w:r>
          </w:p>
        </w:tc>
      </w:tr>
    </w:tbl>
    <w:p>
      <w:pPr>
        <w:spacing w:after="40"/>
      </w:pPr>
    </w:p>
    <w:p>
      <w:pPr>
        <w:keepNext/>
        <w:spacing w:before="200" w:after="60"/>
      </w:pPr>
      <w:r>
        <w:rPr>
          <w:rFonts w:ascii="Segoe UI" w:hAnsi="Segoe UI"/>
          <w:b/>
          <w:color w:val="1E3A8A"/>
          <w:sz w:val="22"/>
        </w:rPr>
        <w:t>1. GCP Data Platform Evidence Mapping (DEV01–DEV12)</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408"/>
        <w:gridCol w:w="3408"/>
        <w:gridCol w:w="3408"/>
      </w:tblGrid>
      <w:tr>
        <w:trPr>
          <w:tblHeader/>
          <w:cantSplit/>
        </w:trPr>
        <w:tc>
          <w:tcPr>
            <w:tcW w:type="dxa" w:w="3408"/>
            <w:shd w:fill="334155"/>
            <w:tcMar>
              <w:top w:w="100" w:type="dxa"/>
              <w:bottom w:w="100" w:type="dxa"/>
              <w:left w:w="100" w:type="dxa"/>
              <w:right w:w="100" w:type="dxa"/>
            </w:tcMar>
          </w:tcPr>
          <w:p>
            <w:pPr>
              <w:spacing w:before="0" w:after="0"/>
              <w:jc w:val="left"/>
            </w:pPr>
            <w:r>
              <w:rPr>
                <w:rFonts w:ascii="Segoe UI" w:hAnsi="Segoe UI"/>
                <w:b/>
                <w:color w:val="FFFFFF"/>
                <w:sz w:val="17"/>
              </w:rPr>
              <w:t>Evidence ID</w:t>
            </w:r>
          </w:p>
        </w:tc>
        <w:tc>
          <w:tcPr>
            <w:tcW w:type="dxa" w:w="3408"/>
            <w:shd w:fill="334155"/>
            <w:tcMar>
              <w:top w:w="100" w:type="dxa"/>
              <w:bottom w:w="100" w:type="dxa"/>
              <w:left w:w="100" w:type="dxa"/>
              <w:right w:w="100" w:type="dxa"/>
            </w:tcMar>
          </w:tcPr>
          <w:p>
            <w:pPr>
              <w:spacing w:before="0" w:after="0"/>
              <w:jc w:val="left"/>
            </w:pPr>
            <w:r>
              <w:rPr>
                <w:rFonts w:ascii="Segoe UI" w:hAnsi="Segoe UI"/>
                <w:b/>
                <w:color w:val="FFFFFF"/>
                <w:sz w:val="17"/>
              </w:rPr>
              <w:t>Universal Evidence Artifact</w:t>
            </w:r>
          </w:p>
        </w:tc>
        <w:tc>
          <w:tcPr>
            <w:tcW w:type="dxa" w:w="3408"/>
            <w:shd w:fill="334155"/>
            <w:tcMar>
              <w:top w:w="100" w:type="dxa"/>
              <w:bottom w:w="100" w:type="dxa"/>
              <w:left w:w="100" w:type="dxa"/>
              <w:right w:w="100" w:type="dxa"/>
            </w:tcMar>
          </w:tcPr>
          <w:p>
            <w:pPr>
              <w:spacing w:before="0" w:after="0"/>
              <w:jc w:val="left"/>
            </w:pPr>
            <w:r>
              <w:rPr>
                <w:rFonts w:ascii="Segoe UI" w:hAnsi="Segoe UI"/>
                <w:b/>
                <w:color w:val="FFFFFF"/>
                <w:sz w:val="17"/>
              </w:rPr>
              <w:t>Platform-Specific Telemetry Sources &amp; Audit Scope</w:t>
            </w:r>
          </w:p>
        </w:tc>
      </w:tr>
      <w:tr>
        <w:trPr>
          <w:cantSplit/>
        </w:trPr>
        <w:tc>
          <w:tcPr>
            <w:tcW w:type="dxa" w:w="3408"/>
            <w:shd w:fill="FFFFFF"/>
            <w:tcMar>
              <w:top w:w="60" w:type="dxa"/>
              <w:bottom w:w="60" w:type="dxa"/>
              <w:left w:w="80" w:type="dxa"/>
              <w:right w:w="80" w:type="dxa"/>
            </w:tcMar>
          </w:tcPr>
          <w:p>
            <w:pPr>
              <w:spacing w:before="0" w:after="0"/>
              <w:jc w:val="center"/>
            </w:pPr>
            <w:r>
              <w:rPr>
                <w:rFonts w:ascii="Segoe UI" w:hAnsi="Segoe UI"/>
                <w:b/>
                <w:color w:val="1E3A8A"/>
                <w:sz w:val="17"/>
              </w:rPr>
              <w:t>DEV01</w:t>
            </w:r>
          </w:p>
        </w:tc>
        <w:tc>
          <w:tcPr>
            <w:tcW w:type="dxa" w:w="3408"/>
            <w:shd w:fill="FFFFFF"/>
            <w:tcMar>
              <w:top w:w="60" w:type="dxa"/>
              <w:bottom w:w="60" w:type="dxa"/>
              <w:left w:w="80" w:type="dxa"/>
              <w:right w:w="80" w:type="dxa"/>
            </w:tcMar>
          </w:tcPr>
          <w:p>
            <w:pPr>
              <w:spacing w:before="0" w:after="0"/>
            </w:pPr>
            <w:r>
              <w:rPr>
                <w:rFonts w:ascii="Segoe UI" w:hAnsi="Segoe UI"/>
                <w:b/>
                <w:color w:val="0F172A"/>
                <w:sz w:val="17"/>
              </w:rPr>
              <w:t>Pipeline Topology &amp; Data Catalog</w:t>
            </w:r>
          </w:p>
        </w:tc>
        <w:tc>
          <w:tcPr>
            <w:tcW w:type="dxa" w:w="3408"/>
            <w:shd w:fill="FFFFFF"/>
            <w:tcMar>
              <w:top w:w="60" w:type="dxa"/>
              <w:bottom w:w="60" w:type="dxa"/>
              <w:left w:w="80" w:type="dxa"/>
              <w:right w:w="80" w:type="dxa"/>
            </w:tcMar>
          </w:tcPr>
          <w:p>
            <w:pPr>
              <w:spacing w:before="0" w:after="0"/>
            </w:pPr>
            <w:r>
              <w:rPr>
                <w:rFonts w:ascii="Segoe UI" w:hAnsi="Segoe UI"/>
                <w:color w:val="0F172A"/>
                <w:sz w:val="17"/>
              </w:rPr>
              <w:t>Google Cloud Dataplex catalog, BigQuery INFORMATION_SCHEMA table definitions, Cloud Composer environment metadata.</w:t>
            </w:r>
          </w:p>
        </w:tc>
      </w:tr>
      <w:tr>
        <w:trPr>
          <w:cantSplit/>
        </w:trPr>
        <w:tc>
          <w:tcPr>
            <w:tcW w:type="dxa" w:w="3408"/>
            <w:shd w:fill="F8FAFC"/>
            <w:tcMar>
              <w:top w:w="60" w:type="dxa"/>
              <w:bottom w:w="60" w:type="dxa"/>
              <w:left w:w="80" w:type="dxa"/>
              <w:right w:w="80" w:type="dxa"/>
            </w:tcMar>
          </w:tcPr>
          <w:p>
            <w:pPr>
              <w:spacing w:before="0" w:after="0"/>
              <w:jc w:val="center"/>
            </w:pPr>
            <w:r>
              <w:rPr>
                <w:rFonts w:ascii="Segoe UI" w:hAnsi="Segoe UI"/>
                <w:b/>
                <w:color w:val="1E3A8A"/>
                <w:sz w:val="17"/>
              </w:rPr>
              <w:t>DEV02</w:t>
            </w:r>
          </w:p>
        </w:tc>
        <w:tc>
          <w:tcPr>
            <w:tcW w:type="dxa" w:w="3408"/>
            <w:shd w:fill="F8FAFC"/>
            <w:tcMar>
              <w:top w:w="60" w:type="dxa"/>
              <w:bottom w:w="60" w:type="dxa"/>
              <w:left w:w="80" w:type="dxa"/>
              <w:right w:w="80" w:type="dxa"/>
            </w:tcMar>
          </w:tcPr>
          <w:p>
            <w:pPr>
              <w:spacing w:before="0" w:after="0"/>
            </w:pPr>
            <w:r>
              <w:rPr>
                <w:rFonts w:ascii="Segoe UI" w:hAnsi="Segoe UI"/>
                <w:b/>
                <w:color w:val="0F172A"/>
                <w:sz w:val="17"/>
              </w:rPr>
              <w:t>Orchestration Code &amp; DAG Definitions</w:t>
            </w:r>
          </w:p>
        </w:tc>
        <w:tc>
          <w:tcPr>
            <w:tcW w:type="dxa" w:w="3408"/>
            <w:shd w:fill="F8FAFC"/>
            <w:tcMar>
              <w:top w:w="60" w:type="dxa"/>
              <w:bottom w:w="60" w:type="dxa"/>
              <w:left w:w="80" w:type="dxa"/>
              <w:right w:w="80" w:type="dxa"/>
            </w:tcMar>
          </w:tcPr>
          <w:p>
            <w:pPr>
              <w:spacing w:before="0" w:after="0"/>
            </w:pPr>
            <w:r>
              <w:rPr>
                <w:rFonts w:ascii="Segoe UI" w:hAnsi="Segoe UI"/>
                <w:color w:val="0F172A"/>
                <w:sz w:val="17"/>
              </w:rPr>
              <w:t>Cloud Composer DAG bucket in Google Cloud Storage (GCS), DAG dependency graphs, requirements.txt.</w:t>
            </w:r>
          </w:p>
        </w:tc>
      </w:tr>
      <w:tr>
        <w:trPr>
          <w:cantSplit/>
        </w:trPr>
        <w:tc>
          <w:tcPr>
            <w:tcW w:type="dxa" w:w="3408"/>
            <w:shd w:fill="FFFFFF"/>
            <w:tcMar>
              <w:top w:w="60" w:type="dxa"/>
              <w:bottom w:w="60" w:type="dxa"/>
              <w:left w:w="80" w:type="dxa"/>
              <w:right w:w="80" w:type="dxa"/>
            </w:tcMar>
          </w:tcPr>
          <w:p>
            <w:pPr>
              <w:spacing w:before="0" w:after="0"/>
              <w:jc w:val="center"/>
            </w:pPr>
            <w:r>
              <w:rPr>
                <w:rFonts w:ascii="Segoe UI" w:hAnsi="Segoe UI"/>
                <w:b/>
                <w:color w:val="1E3A8A"/>
                <w:sz w:val="17"/>
              </w:rPr>
              <w:t>DEV03</w:t>
            </w:r>
          </w:p>
        </w:tc>
        <w:tc>
          <w:tcPr>
            <w:tcW w:type="dxa" w:w="3408"/>
            <w:shd w:fill="FFFFFF"/>
            <w:tcMar>
              <w:top w:w="60" w:type="dxa"/>
              <w:bottom w:w="60" w:type="dxa"/>
              <w:left w:w="80" w:type="dxa"/>
              <w:right w:w="80" w:type="dxa"/>
            </w:tcMar>
          </w:tcPr>
          <w:p>
            <w:pPr>
              <w:spacing w:before="0" w:after="0"/>
            </w:pPr>
            <w:r>
              <w:rPr>
                <w:rFonts w:ascii="Segoe UI" w:hAnsi="Segoe UI"/>
                <w:b/>
                <w:color w:val="0F172A"/>
                <w:sz w:val="17"/>
              </w:rPr>
              <w:t>Pipeline Execution Logs (90 Days)</w:t>
            </w:r>
          </w:p>
        </w:tc>
        <w:tc>
          <w:tcPr>
            <w:tcW w:type="dxa" w:w="3408"/>
            <w:shd w:fill="FFFFFF"/>
            <w:tcMar>
              <w:top w:w="60" w:type="dxa"/>
              <w:bottom w:w="60" w:type="dxa"/>
              <w:left w:w="80" w:type="dxa"/>
              <w:right w:w="80" w:type="dxa"/>
            </w:tcMar>
          </w:tcPr>
          <w:p>
            <w:pPr>
              <w:spacing w:before="0" w:after="0"/>
            </w:pPr>
            <w:r>
              <w:rPr>
                <w:rFonts w:ascii="Segoe UI" w:hAnsi="Segoe UI"/>
                <w:color w:val="0F172A"/>
                <w:sz w:val="17"/>
              </w:rPr>
              <w:t>Google Cloud Logging (composer-worker, dataflow.googleapis.com, cloudaudit.googleapis.com), BigQuery JOBS_BY_PROJECT.</w:t>
            </w:r>
          </w:p>
        </w:tc>
      </w:tr>
      <w:tr>
        <w:trPr>
          <w:cantSplit/>
        </w:trPr>
        <w:tc>
          <w:tcPr>
            <w:tcW w:type="dxa" w:w="3408"/>
            <w:shd w:fill="F8FAFC"/>
            <w:tcMar>
              <w:top w:w="60" w:type="dxa"/>
              <w:bottom w:w="60" w:type="dxa"/>
              <w:left w:w="80" w:type="dxa"/>
              <w:right w:w="80" w:type="dxa"/>
            </w:tcMar>
          </w:tcPr>
          <w:p>
            <w:pPr>
              <w:spacing w:before="0" w:after="0"/>
              <w:jc w:val="center"/>
            </w:pPr>
            <w:r>
              <w:rPr>
                <w:rFonts w:ascii="Segoe UI" w:hAnsi="Segoe UI"/>
                <w:b/>
                <w:color w:val="1E3A8A"/>
                <w:sz w:val="17"/>
              </w:rPr>
              <w:t>DEV04</w:t>
            </w:r>
          </w:p>
        </w:tc>
        <w:tc>
          <w:tcPr>
            <w:tcW w:type="dxa" w:w="3408"/>
            <w:shd w:fill="F8FAFC"/>
            <w:tcMar>
              <w:top w:w="60" w:type="dxa"/>
              <w:bottom w:w="60" w:type="dxa"/>
              <w:left w:w="80" w:type="dxa"/>
              <w:right w:w="80" w:type="dxa"/>
            </w:tcMar>
          </w:tcPr>
          <w:p>
            <w:pPr>
              <w:spacing w:before="0" w:after="0"/>
            </w:pPr>
            <w:r>
              <w:rPr>
                <w:rFonts w:ascii="Segoe UI" w:hAnsi="Segoe UI"/>
                <w:b/>
                <w:color w:val="0F172A"/>
                <w:sz w:val="17"/>
              </w:rPr>
              <w:t>Data Quality &amp; Schema Rules</w:t>
            </w:r>
          </w:p>
        </w:tc>
        <w:tc>
          <w:tcPr>
            <w:tcW w:type="dxa" w:w="3408"/>
            <w:shd w:fill="F8FAFC"/>
            <w:tcMar>
              <w:top w:w="60" w:type="dxa"/>
              <w:bottom w:w="60" w:type="dxa"/>
              <w:left w:w="80" w:type="dxa"/>
              <w:right w:w="80" w:type="dxa"/>
            </w:tcMar>
          </w:tcPr>
          <w:p>
            <w:pPr>
              <w:spacing w:before="0" w:after="0"/>
            </w:pPr>
            <w:r>
              <w:rPr>
                <w:rFonts w:ascii="Segoe UI" w:hAnsi="Segoe UI"/>
                <w:color w:val="0F172A"/>
                <w:sz w:val="17"/>
              </w:rPr>
              <w:t>Dataplex Data Quality task definitions, Great Expectations test suites, Soda Core YAML configs.</w:t>
            </w:r>
          </w:p>
        </w:tc>
      </w:tr>
      <w:tr>
        <w:trPr>
          <w:cantSplit/>
        </w:trPr>
        <w:tc>
          <w:tcPr>
            <w:tcW w:type="dxa" w:w="3408"/>
            <w:shd w:fill="FFFFFF"/>
            <w:tcMar>
              <w:top w:w="60" w:type="dxa"/>
              <w:bottom w:w="60" w:type="dxa"/>
              <w:left w:w="80" w:type="dxa"/>
              <w:right w:w="80" w:type="dxa"/>
            </w:tcMar>
          </w:tcPr>
          <w:p>
            <w:pPr>
              <w:spacing w:before="0" w:after="0"/>
              <w:jc w:val="center"/>
            </w:pPr>
            <w:r>
              <w:rPr>
                <w:rFonts w:ascii="Segoe UI" w:hAnsi="Segoe UI"/>
                <w:b/>
                <w:color w:val="1E3A8A"/>
                <w:sz w:val="17"/>
              </w:rPr>
              <w:t>DEV05</w:t>
            </w:r>
          </w:p>
        </w:tc>
        <w:tc>
          <w:tcPr>
            <w:tcW w:type="dxa" w:w="3408"/>
            <w:shd w:fill="FFFFFF"/>
            <w:tcMar>
              <w:top w:w="60" w:type="dxa"/>
              <w:bottom w:w="60" w:type="dxa"/>
              <w:left w:w="80" w:type="dxa"/>
              <w:right w:w="80" w:type="dxa"/>
            </w:tcMar>
          </w:tcPr>
          <w:p>
            <w:pPr>
              <w:spacing w:before="0" w:after="0"/>
            </w:pPr>
            <w:r>
              <w:rPr>
                <w:rFonts w:ascii="Segoe UI" w:hAnsi="Segoe UI"/>
                <w:b/>
                <w:color w:val="0F172A"/>
                <w:sz w:val="17"/>
              </w:rPr>
              <w:t>Schema Evolution &amp; Drift History</w:t>
            </w:r>
          </w:p>
        </w:tc>
        <w:tc>
          <w:tcPr>
            <w:tcW w:type="dxa" w:w="3408"/>
            <w:shd w:fill="FFFFFF"/>
            <w:tcMar>
              <w:top w:w="60" w:type="dxa"/>
              <w:bottom w:w="60" w:type="dxa"/>
              <w:left w:w="80" w:type="dxa"/>
              <w:right w:w="80" w:type="dxa"/>
            </w:tcMar>
          </w:tcPr>
          <w:p>
            <w:pPr>
              <w:spacing w:before="0" w:after="0"/>
            </w:pPr>
            <w:r>
              <w:rPr>
                <w:rFonts w:ascii="Segoe UI" w:hAnsi="Segoe UI"/>
                <w:color w:val="0F172A"/>
                <w:sz w:val="17"/>
              </w:rPr>
              <w:t>BigQuery schema modification history, table snapshot history, BigQuery time-travel configurations (7-day window).</w:t>
            </w:r>
          </w:p>
        </w:tc>
      </w:tr>
      <w:tr>
        <w:trPr>
          <w:cantSplit/>
        </w:trPr>
        <w:tc>
          <w:tcPr>
            <w:tcW w:type="dxa" w:w="3408"/>
            <w:shd w:fill="F8FAFC"/>
            <w:tcMar>
              <w:top w:w="60" w:type="dxa"/>
              <w:bottom w:w="60" w:type="dxa"/>
              <w:left w:w="80" w:type="dxa"/>
              <w:right w:w="80" w:type="dxa"/>
            </w:tcMar>
          </w:tcPr>
          <w:p>
            <w:pPr>
              <w:spacing w:before="0" w:after="0"/>
              <w:jc w:val="center"/>
            </w:pPr>
            <w:r>
              <w:rPr>
                <w:rFonts w:ascii="Segoe UI" w:hAnsi="Segoe UI"/>
                <w:b/>
                <w:color w:val="1E3A8A"/>
                <w:sz w:val="17"/>
              </w:rPr>
              <w:t>DEV06</w:t>
            </w:r>
          </w:p>
        </w:tc>
        <w:tc>
          <w:tcPr>
            <w:tcW w:type="dxa" w:w="3408"/>
            <w:shd w:fill="F8FAFC"/>
            <w:tcMar>
              <w:top w:w="60" w:type="dxa"/>
              <w:bottom w:w="60" w:type="dxa"/>
              <w:left w:w="80" w:type="dxa"/>
              <w:right w:w="80" w:type="dxa"/>
            </w:tcMar>
          </w:tcPr>
          <w:p>
            <w:pPr>
              <w:spacing w:before="0" w:after="0"/>
            </w:pPr>
            <w:r>
              <w:rPr>
                <w:rFonts w:ascii="Segoe UI" w:hAnsi="Segoe UI"/>
                <w:b/>
                <w:color w:val="0F172A"/>
                <w:sz w:val="17"/>
              </w:rPr>
              <w:t>SLA &amp; Freshness Metric Monitors</w:t>
            </w:r>
          </w:p>
        </w:tc>
        <w:tc>
          <w:tcPr>
            <w:tcW w:type="dxa" w:w="3408"/>
            <w:shd w:fill="F8FAFC"/>
            <w:tcMar>
              <w:top w:w="60" w:type="dxa"/>
              <w:bottom w:w="60" w:type="dxa"/>
              <w:left w:w="80" w:type="dxa"/>
              <w:right w:w="80" w:type="dxa"/>
            </w:tcMar>
          </w:tcPr>
          <w:p>
            <w:pPr>
              <w:spacing w:before="0" w:after="0"/>
            </w:pPr>
            <w:r>
              <w:rPr>
                <w:rFonts w:ascii="Segoe UI" w:hAnsi="Segoe UI"/>
                <w:color w:val="0F172A"/>
                <w:sz w:val="17"/>
              </w:rPr>
              <w:t>Cloud Monitoring alert policies, Notification Channels (PagerDuty / Slack), BigQuery streaming buffer latency alerts.</w:t>
            </w:r>
          </w:p>
        </w:tc>
      </w:tr>
      <w:tr>
        <w:trPr>
          <w:cantSplit/>
        </w:trPr>
        <w:tc>
          <w:tcPr>
            <w:tcW w:type="dxa" w:w="3408"/>
            <w:shd w:fill="FFFFFF"/>
            <w:tcMar>
              <w:top w:w="60" w:type="dxa"/>
              <w:bottom w:w="60" w:type="dxa"/>
              <w:left w:w="80" w:type="dxa"/>
              <w:right w:w="80" w:type="dxa"/>
            </w:tcMar>
          </w:tcPr>
          <w:p>
            <w:pPr>
              <w:spacing w:before="0" w:after="0"/>
              <w:jc w:val="center"/>
            </w:pPr>
            <w:r>
              <w:rPr>
                <w:rFonts w:ascii="Segoe UI" w:hAnsi="Segoe UI"/>
                <w:b/>
                <w:color w:val="1E3A8A"/>
                <w:sz w:val="17"/>
              </w:rPr>
              <w:t>DEV07</w:t>
            </w:r>
          </w:p>
        </w:tc>
        <w:tc>
          <w:tcPr>
            <w:tcW w:type="dxa" w:w="3408"/>
            <w:shd w:fill="FFFFFF"/>
            <w:tcMar>
              <w:top w:w="60" w:type="dxa"/>
              <w:bottom w:w="60" w:type="dxa"/>
              <w:left w:w="80" w:type="dxa"/>
              <w:right w:w="80" w:type="dxa"/>
            </w:tcMar>
          </w:tcPr>
          <w:p>
            <w:pPr>
              <w:spacing w:before="0" w:after="0"/>
            </w:pPr>
            <w:r>
              <w:rPr>
                <w:rFonts w:ascii="Segoe UI" w:hAnsi="Segoe UI"/>
                <w:b/>
                <w:color w:val="0F172A"/>
                <w:sz w:val="17"/>
              </w:rPr>
              <w:t>Incident Post-Mortems &amp; RCA Records</w:t>
            </w:r>
          </w:p>
        </w:tc>
        <w:tc>
          <w:tcPr>
            <w:tcW w:type="dxa" w:w="3408"/>
            <w:shd w:fill="FFFFFF"/>
            <w:tcMar>
              <w:top w:w="60" w:type="dxa"/>
              <w:bottom w:w="60" w:type="dxa"/>
              <w:left w:w="80" w:type="dxa"/>
              <w:right w:w="80" w:type="dxa"/>
            </w:tcMar>
          </w:tcPr>
          <w:p>
            <w:pPr>
              <w:spacing w:before="0" w:after="0"/>
            </w:pPr>
            <w:r>
              <w:rPr>
                <w:rFonts w:ascii="Segoe UI" w:hAnsi="Segoe UI"/>
                <w:color w:val="0F172A"/>
                <w:sz w:val="17"/>
              </w:rPr>
              <w:t>Jira / Google Workspace incident post-mortems, root cause analysis documents for BigQuery quota exhaustion.</w:t>
            </w:r>
          </w:p>
        </w:tc>
      </w:tr>
      <w:tr>
        <w:trPr>
          <w:cantSplit/>
        </w:trPr>
        <w:tc>
          <w:tcPr>
            <w:tcW w:type="dxa" w:w="3408"/>
            <w:shd w:fill="F8FAFC"/>
            <w:tcMar>
              <w:top w:w="60" w:type="dxa"/>
              <w:bottom w:w="60" w:type="dxa"/>
              <w:left w:w="80" w:type="dxa"/>
              <w:right w:w="80" w:type="dxa"/>
            </w:tcMar>
          </w:tcPr>
          <w:p>
            <w:pPr>
              <w:spacing w:before="0" w:after="0"/>
              <w:jc w:val="center"/>
            </w:pPr>
            <w:r>
              <w:rPr>
                <w:rFonts w:ascii="Segoe UI" w:hAnsi="Segoe UI"/>
                <w:b/>
                <w:color w:val="1E3A8A"/>
                <w:sz w:val="17"/>
              </w:rPr>
              <w:t>DEV08</w:t>
            </w:r>
          </w:p>
        </w:tc>
        <w:tc>
          <w:tcPr>
            <w:tcW w:type="dxa" w:w="3408"/>
            <w:shd w:fill="F8FAFC"/>
            <w:tcMar>
              <w:top w:w="60" w:type="dxa"/>
              <w:bottom w:w="60" w:type="dxa"/>
              <w:left w:w="80" w:type="dxa"/>
              <w:right w:w="80" w:type="dxa"/>
            </w:tcMar>
          </w:tcPr>
          <w:p>
            <w:pPr>
              <w:spacing w:before="0" w:after="0"/>
            </w:pPr>
            <w:r>
              <w:rPr>
                <w:rFonts w:ascii="Segoe UI" w:hAnsi="Segoe UI"/>
                <w:b/>
                <w:color w:val="0F172A"/>
                <w:sz w:val="17"/>
              </w:rPr>
              <w:t>Operational Runbooks &amp; SOPs</w:t>
            </w:r>
          </w:p>
        </w:tc>
        <w:tc>
          <w:tcPr>
            <w:tcW w:type="dxa" w:w="3408"/>
            <w:shd w:fill="F8FAFC"/>
            <w:tcMar>
              <w:top w:w="60" w:type="dxa"/>
              <w:bottom w:w="60" w:type="dxa"/>
              <w:left w:w="80" w:type="dxa"/>
              <w:right w:w="80" w:type="dxa"/>
            </w:tcMar>
          </w:tcPr>
          <w:p>
            <w:pPr>
              <w:spacing w:before="0" w:after="0"/>
            </w:pPr>
            <w:r>
              <w:rPr>
                <w:rFonts w:ascii="Segoe UI" w:hAnsi="Segoe UI"/>
                <w:color w:val="0F172A"/>
                <w:sz w:val="17"/>
              </w:rPr>
              <w:t>Git runbook repositories, Cloud Composer troubleshooting SOPs for worker memory spikes and task rescheduling.</w:t>
            </w:r>
          </w:p>
        </w:tc>
      </w:tr>
      <w:tr>
        <w:trPr>
          <w:cantSplit/>
        </w:trPr>
        <w:tc>
          <w:tcPr>
            <w:tcW w:type="dxa" w:w="3408"/>
            <w:shd w:fill="FFFFFF"/>
            <w:tcMar>
              <w:top w:w="60" w:type="dxa"/>
              <w:bottom w:w="60" w:type="dxa"/>
              <w:left w:w="80" w:type="dxa"/>
              <w:right w:w="80" w:type="dxa"/>
            </w:tcMar>
          </w:tcPr>
          <w:p>
            <w:pPr>
              <w:spacing w:before="0" w:after="0"/>
              <w:jc w:val="center"/>
            </w:pPr>
            <w:r>
              <w:rPr>
                <w:rFonts w:ascii="Segoe UI" w:hAnsi="Segoe UI"/>
                <w:b/>
                <w:color w:val="1E3A8A"/>
                <w:sz w:val="17"/>
              </w:rPr>
              <w:t>DEV09</w:t>
            </w:r>
          </w:p>
        </w:tc>
        <w:tc>
          <w:tcPr>
            <w:tcW w:type="dxa" w:w="3408"/>
            <w:shd w:fill="FFFFFF"/>
            <w:tcMar>
              <w:top w:w="60" w:type="dxa"/>
              <w:bottom w:w="60" w:type="dxa"/>
              <w:left w:w="80" w:type="dxa"/>
              <w:right w:w="80" w:type="dxa"/>
            </w:tcMar>
          </w:tcPr>
          <w:p>
            <w:pPr>
              <w:spacing w:before="0" w:after="0"/>
            </w:pPr>
            <w:r>
              <w:rPr>
                <w:rFonts w:ascii="Segoe UI" w:hAnsi="Segoe UI"/>
                <w:b/>
                <w:color w:val="0F172A"/>
                <w:sz w:val="17"/>
              </w:rPr>
              <w:t>Replay, Backfill &amp; Retry Scripts</w:t>
            </w:r>
          </w:p>
        </w:tc>
        <w:tc>
          <w:tcPr>
            <w:tcW w:type="dxa" w:w="3408"/>
            <w:shd w:fill="FFFFFF"/>
            <w:tcMar>
              <w:top w:w="60" w:type="dxa"/>
              <w:bottom w:w="60" w:type="dxa"/>
              <w:left w:w="80" w:type="dxa"/>
              <w:right w:w="80" w:type="dxa"/>
            </w:tcMar>
          </w:tcPr>
          <w:p>
            <w:pPr>
              <w:spacing w:before="0" w:after="0"/>
            </w:pPr>
            <w:r>
              <w:rPr>
                <w:rFonts w:ascii="Segoe UI" w:hAnsi="Segoe UI"/>
                <w:color w:val="0F172A"/>
                <w:sz w:val="17"/>
              </w:rPr>
              <w:t>Cloud Composer backfill execution logs, BigQuery FOR SYSTEM_TIME AS OF table restore queries, Dataflow drain/resume.</w:t>
            </w:r>
          </w:p>
        </w:tc>
      </w:tr>
      <w:tr>
        <w:trPr>
          <w:cantSplit/>
        </w:trPr>
        <w:tc>
          <w:tcPr>
            <w:tcW w:type="dxa" w:w="3408"/>
            <w:shd w:fill="F8FAFC"/>
            <w:tcMar>
              <w:top w:w="60" w:type="dxa"/>
              <w:bottom w:w="60" w:type="dxa"/>
              <w:left w:w="80" w:type="dxa"/>
              <w:right w:w="80" w:type="dxa"/>
            </w:tcMar>
          </w:tcPr>
          <w:p>
            <w:pPr>
              <w:spacing w:before="0" w:after="0"/>
              <w:jc w:val="center"/>
            </w:pPr>
            <w:r>
              <w:rPr>
                <w:rFonts w:ascii="Segoe UI" w:hAnsi="Segoe UI"/>
                <w:b/>
                <w:color w:val="1E3A8A"/>
                <w:sz w:val="17"/>
              </w:rPr>
              <w:t>DEV10</w:t>
            </w:r>
          </w:p>
        </w:tc>
        <w:tc>
          <w:tcPr>
            <w:tcW w:type="dxa" w:w="3408"/>
            <w:shd w:fill="F8FAFC"/>
            <w:tcMar>
              <w:top w:w="60" w:type="dxa"/>
              <w:bottom w:w="60" w:type="dxa"/>
              <w:left w:w="80" w:type="dxa"/>
              <w:right w:w="80" w:type="dxa"/>
            </w:tcMar>
          </w:tcPr>
          <w:p>
            <w:pPr>
              <w:spacing w:before="0" w:after="0"/>
            </w:pPr>
            <w:r>
              <w:rPr>
                <w:rFonts w:ascii="Segoe UI" w:hAnsi="Segoe UI"/>
                <w:b/>
                <w:color w:val="0F172A"/>
                <w:sz w:val="17"/>
              </w:rPr>
              <w:t>CI/CD Data Pipeline Testing Suites</w:t>
            </w:r>
          </w:p>
        </w:tc>
        <w:tc>
          <w:tcPr>
            <w:tcW w:type="dxa" w:w="3408"/>
            <w:shd w:fill="F8FAFC"/>
            <w:tcMar>
              <w:top w:w="60" w:type="dxa"/>
              <w:bottom w:w="60" w:type="dxa"/>
              <w:left w:w="80" w:type="dxa"/>
              <w:right w:w="80" w:type="dxa"/>
            </w:tcMar>
          </w:tcPr>
          <w:p>
            <w:pPr>
              <w:spacing w:before="0" w:after="0"/>
            </w:pPr>
            <w:r>
              <w:rPr>
                <w:rFonts w:ascii="Segoe UI" w:hAnsi="Segoe UI"/>
                <w:color w:val="0F172A"/>
                <w:sz w:val="17"/>
              </w:rPr>
              <w:t>Cloud Build / GitHub Actions workflows, pytest suites for Beam/Spark transformations, dbt test suites for BigQuery models.</w:t>
            </w:r>
          </w:p>
        </w:tc>
      </w:tr>
      <w:tr>
        <w:trPr>
          <w:cantSplit/>
        </w:trPr>
        <w:tc>
          <w:tcPr>
            <w:tcW w:type="dxa" w:w="3408"/>
            <w:shd w:fill="FFFFFF"/>
            <w:tcMar>
              <w:top w:w="60" w:type="dxa"/>
              <w:bottom w:w="60" w:type="dxa"/>
              <w:left w:w="80" w:type="dxa"/>
              <w:right w:w="80" w:type="dxa"/>
            </w:tcMar>
          </w:tcPr>
          <w:p>
            <w:pPr>
              <w:spacing w:before="0" w:after="0"/>
              <w:jc w:val="center"/>
            </w:pPr>
            <w:r>
              <w:rPr>
                <w:rFonts w:ascii="Segoe UI" w:hAnsi="Segoe UI"/>
                <w:b/>
                <w:color w:val="1E3A8A"/>
                <w:sz w:val="17"/>
              </w:rPr>
              <w:t>DEV11</w:t>
            </w:r>
          </w:p>
        </w:tc>
        <w:tc>
          <w:tcPr>
            <w:tcW w:type="dxa" w:w="3408"/>
            <w:shd w:fill="FFFFFF"/>
            <w:tcMar>
              <w:top w:w="60" w:type="dxa"/>
              <w:bottom w:w="60" w:type="dxa"/>
              <w:left w:w="80" w:type="dxa"/>
              <w:right w:w="80" w:type="dxa"/>
            </w:tcMar>
          </w:tcPr>
          <w:p>
            <w:pPr>
              <w:spacing w:before="0" w:after="0"/>
            </w:pPr>
            <w:r>
              <w:rPr>
                <w:rFonts w:ascii="Segoe UI" w:hAnsi="Segoe UI"/>
                <w:b/>
                <w:color w:val="0F172A"/>
                <w:sz w:val="17"/>
              </w:rPr>
              <w:t>Data Lineage &amp; Telemetry Tracing</w:t>
            </w:r>
          </w:p>
        </w:tc>
        <w:tc>
          <w:tcPr>
            <w:tcW w:type="dxa" w:w="3408"/>
            <w:shd w:fill="FFFFFF"/>
            <w:tcMar>
              <w:top w:w="60" w:type="dxa"/>
              <w:bottom w:w="60" w:type="dxa"/>
              <w:left w:w="80" w:type="dxa"/>
              <w:right w:w="80" w:type="dxa"/>
            </w:tcMar>
          </w:tcPr>
          <w:p>
            <w:pPr>
              <w:spacing w:before="0" w:after="0"/>
            </w:pPr>
            <w:r>
              <w:rPr>
                <w:rFonts w:ascii="Segoe UI" w:hAnsi="Segoe UI"/>
                <w:color w:val="0F172A"/>
                <w:sz w:val="17"/>
              </w:rPr>
              <w:t>Dataplex automated data lineage, OpenLineage Airflow hooks, DataHub lineage integration.</w:t>
            </w:r>
          </w:p>
        </w:tc>
      </w:tr>
      <w:tr>
        <w:trPr>
          <w:cantSplit/>
        </w:trPr>
        <w:tc>
          <w:tcPr>
            <w:tcW w:type="dxa" w:w="3408"/>
            <w:shd w:fill="F8FAFC"/>
            <w:tcMar>
              <w:top w:w="60" w:type="dxa"/>
              <w:bottom w:w="60" w:type="dxa"/>
              <w:left w:w="80" w:type="dxa"/>
              <w:right w:w="80" w:type="dxa"/>
            </w:tcMar>
          </w:tcPr>
          <w:p>
            <w:pPr>
              <w:spacing w:before="0" w:after="0"/>
              <w:jc w:val="center"/>
            </w:pPr>
            <w:r>
              <w:rPr>
                <w:rFonts w:ascii="Segoe UI" w:hAnsi="Segoe UI"/>
                <w:b/>
                <w:color w:val="1E3A8A"/>
                <w:sz w:val="17"/>
              </w:rPr>
              <w:t>DEV12</w:t>
            </w:r>
          </w:p>
        </w:tc>
        <w:tc>
          <w:tcPr>
            <w:tcW w:type="dxa" w:w="3408"/>
            <w:shd w:fill="F8FAFC"/>
            <w:tcMar>
              <w:top w:w="60" w:type="dxa"/>
              <w:bottom w:w="60" w:type="dxa"/>
              <w:left w:w="80" w:type="dxa"/>
              <w:right w:w="80" w:type="dxa"/>
            </w:tcMar>
          </w:tcPr>
          <w:p>
            <w:pPr>
              <w:spacing w:before="0" w:after="0"/>
            </w:pPr>
            <w:r>
              <w:rPr>
                <w:rFonts w:ascii="Segoe UI" w:hAnsi="Segoe UI"/>
                <w:b/>
                <w:color w:val="0F172A"/>
                <w:sz w:val="17"/>
              </w:rPr>
              <w:t>Resource Saturation &amp; Compute Metrics</w:t>
            </w:r>
          </w:p>
        </w:tc>
        <w:tc>
          <w:tcPr>
            <w:tcW w:type="dxa" w:w="3408"/>
            <w:shd w:fill="F8FAFC"/>
            <w:tcMar>
              <w:top w:w="60" w:type="dxa"/>
              <w:bottom w:w="60" w:type="dxa"/>
              <w:left w:w="80" w:type="dxa"/>
              <w:right w:w="80" w:type="dxa"/>
            </w:tcMar>
          </w:tcPr>
          <w:p>
            <w:pPr>
              <w:spacing w:before="0" w:after="0"/>
            </w:pPr>
            <w:r>
              <w:rPr>
                <w:rFonts w:ascii="Segoe UI" w:hAnsi="Segoe UI"/>
                <w:color w:val="0F172A"/>
                <w:sz w:val="17"/>
              </w:rPr>
              <w:t>BigQuery Slot Reservation metrics, Dataflow CPU/memory utilization, Cloud Composer celery worker autoscaling metrics.</w:t>
            </w:r>
          </w:p>
        </w:tc>
      </w:tr>
    </w:tbl>
    <w:p>
      <w:pPr>
        <w:spacing w:after="40"/>
      </w:pPr>
    </w:p>
    <w:p>
      <w:pPr>
        <w:keepNext/>
        <w:spacing w:before="200" w:after="60"/>
      </w:pPr>
      <w:r>
        <w:rPr>
          <w:rFonts w:ascii="Segoe UI" w:hAnsi="Segoe UI"/>
          <w:b/>
          <w:color w:val="1E3A8A"/>
          <w:sz w:val="22"/>
        </w:rPr>
        <w:t>2. GCP Component Deep-Dive Inspection Protocols</w:t>
      </w:r>
    </w:p>
    <w:p>
      <w:pPr>
        <w:keepNext/>
        <w:spacing w:before="120" w:after="40"/>
      </w:pPr>
      <w:r>
        <w:rPr>
          <w:rFonts w:ascii="Segoe UI" w:hAnsi="Segoe UI"/>
          <w:b/>
          <w:color w:val="334155"/>
          <w:sz w:val="19"/>
        </w:rPr>
        <w:t>Google BigQuery &amp; Reservation Management</w:t>
      </w:r>
    </w:p>
    <w:p>
      <w:pPr>
        <w:pStyle w:val="ListBullet"/>
        <w:spacing w:before="0" w:after="40" w:line="276" w:lineRule="auto"/>
      </w:pPr>
      <w:r>
        <w:rPr>
          <w:rFonts w:ascii="Segoe UI" w:hAnsi="Segoe UI"/>
          <w:b/>
          <w:color w:val="0F172A"/>
          <w:sz w:val="18"/>
        </w:rPr>
        <w:t xml:space="preserve">Slot Contention &amp; Queuing: </w:t>
      </w:r>
      <w:r>
        <w:rPr>
          <w:rFonts w:ascii="Segoe UI" w:hAnsi="Segoe UI"/>
          <w:color w:val="0F172A"/>
          <w:sz w:val="18"/>
        </w:rPr>
        <w:t>Inspect BigQuery slot commitments, autoscale slots, and query execution stages (Input, Compute, Output, Shuffle) to identify slot starvation.</w:t>
      </w:r>
    </w:p>
    <w:p>
      <w:pPr>
        <w:pStyle w:val="ListBullet"/>
        <w:spacing w:before="0" w:after="40" w:line="276" w:lineRule="auto"/>
      </w:pPr>
      <w:r>
        <w:rPr>
          <w:rFonts w:ascii="Segoe UI" w:hAnsi="Segoe UI"/>
          <w:b/>
          <w:color w:val="0F172A"/>
          <w:sz w:val="18"/>
        </w:rPr>
        <w:t xml:space="preserve">Partitioning &amp; Clustering Hygiene: </w:t>
      </w:r>
      <w:r>
        <w:rPr>
          <w:rFonts w:ascii="Segoe UI" w:hAnsi="Segoe UI"/>
          <w:color w:val="0F172A"/>
          <w:sz w:val="18"/>
        </w:rPr>
        <w:t>Audit partition filters, cluster columns, and table expiration policies across critical reporting datasets.</w:t>
      </w:r>
    </w:p>
    <w:p>
      <w:pPr>
        <w:keepNext/>
        <w:spacing w:before="120" w:after="40"/>
      </w:pPr>
      <w:r>
        <w:rPr>
          <w:rFonts w:ascii="Segoe UI" w:hAnsi="Segoe UI"/>
          <w:b/>
          <w:color w:val="334155"/>
          <w:sz w:val="19"/>
        </w:rPr>
        <w:t>Google Cloud Composer (Managed Apache Airflow)</w:t>
      </w:r>
    </w:p>
    <w:p>
      <w:pPr>
        <w:pStyle w:val="ListBullet"/>
        <w:spacing w:before="0" w:after="40" w:line="276" w:lineRule="auto"/>
      </w:pPr>
      <w:r>
        <w:rPr>
          <w:rFonts w:ascii="Segoe UI" w:hAnsi="Segoe UI"/>
          <w:b/>
          <w:color w:val="0F172A"/>
          <w:sz w:val="18"/>
        </w:rPr>
        <w:t xml:space="preserve">Worker Sizing &amp; Queue Health: </w:t>
      </w:r>
      <w:r>
        <w:rPr>
          <w:rFonts w:ascii="Segoe UI" w:hAnsi="Segoe UI"/>
          <w:color w:val="0F172A"/>
          <w:sz w:val="18"/>
        </w:rPr>
        <w:t>Review Composer GKE cluster node autoscaling, worker CPU/memory limits, and Redis/Celery queue latency.</w:t>
      </w:r>
    </w:p>
    <w:p>
      <w:pPr>
        <w:pStyle w:val="ListBullet"/>
        <w:spacing w:before="0" w:after="40" w:line="276" w:lineRule="auto"/>
      </w:pPr>
      <w:r>
        <w:rPr>
          <w:rFonts w:ascii="Segoe UI" w:hAnsi="Segoe UI"/>
          <w:b/>
          <w:color w:val="0F172A"/>
          <w:sz w:val="18"/>
        </w:rPr>
        <w:t xml:space="preserve">SLA Miss &amp; Timeout Hygiene: </w:t>
      </w:r>
      <w:r>
        <w:rPr>
          <w:rFonts w:ascii="Segoe UI" w:hAnsi="Segoe UI"/>
          <w:color w:val="0F172A"/>
          <w:sz w:val="18"/>
        </w:rPr>
        <w:t>Verify sla_miss_callback alerting and task instance heartbeat timeout configurations.</w:t>
      </w:r>
    </w:p>
    <w:p>
      <w:pPr>
        <w:keepNext/>
        <w:spacing w:before="120" w:after="40"/>
      </w:pPr>
      <w:r>
        <w:rPr>
          <w:rFonts w:ascii="Segoe UI" w:hAnsi="Segoe UI"/>
          <w:b/>
          <w:color w:val="334155"/>
          <w:sz w:val="19"/>
        </w:rPr>
        <w:t>Google Cloud Dataflow (Apache Beam)</w:t>
      </w:r>
    </w:p>
    <w:p>
      <w:pPr>
        <w:pStyle w:val="ListBullet"/>
        <w:spacing w:before="0" w:after="40" w:line="276" w:lineRule="auto"/>
      </w:pPr>
      <w:r>
        <w:rPr>
          <w:rFonts w:ascii="Segoe UI" w:hAnsi="Segoe UI"/>
          <w:b/>
          <w:color w:val="0F172A"/>
          <w:sz w:val="18"/>
        </w:rPr>
        <w:t xml:space="preserve">Watermark Progress &amp; System Lag: </w:t>
      </w:r>
      <w:r>
        <w:rPr>
          <w:rFonts w:ascii="Segoe UI" w:hAnsi="Segoe UI"/>
          <w:color w:val="0F172A"/>
          <w:sz w:val="18"/>
        </w:rPr>
        <w:t>Audit system lag, watermark progress, and throughput metrics across streaming streaming data pipelines.</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5"/>
      </w:rPr>
      <w:t>Critical Data Pipeline Reliability Assessment | GCP Ecosystem Annexure | v2.0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5"/>
      </w:rPr>
      <w:t>VITHI IT SOLUTIONS | DATAOPS PRACTICE | GCP ANNEXURE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