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6"/>
        </w:rPr>
        <w:t>TECHNICAL ANNEXURE | VITHI DATAOPS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0"/>
        </w:rPr>
        <w:t>Data Quality &amp; Tooling Evaluation Appendix</w:t>
      </w:r>
    </w:p>
    <w:p>
      <w:pPr>
        <w:spacing w:before="0" w:after="160"/>
      </w:pPr>
      <w:r>
        <w:rPr>
          <w:rFonts w:ascii="Segoe UI" w:hAnsi="Segoe UI"/>
          <w:i/>
          <w:color w:val="64748B"/>
          <w:sz w:val="19"/>
        </w:rPr>
        <w:t>Audit Protocols for Monte Carlo, Great Expectations, Soda, Acceldata &amp; DataHub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VENDOR-NEUTRAL EVALUATION PROTOCOL</w:t>
              <w:br/>
            </w:r>
            <w:r>
              <w:rPr>
                <w:rFonts w:ascii="Segoe UI" w:hAnsi="Segoe UI"/>
                <w:color w:val="0F172A"/>
                <w:sz w:val="17"/>
              </w:rPr>
              <w:t>TOOL-AGNOSTIC EVALUATION: Vithi's diagnostic takes an objective, vendor-neutral stance. We evaluate whether customer investments in commercial or open-source quality tools are correctly configured, integrated into operational runbooks, and actually reducing pipeline MTTR.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2"/>
        </w:rPr>
        <w:t>1. Quality &amp; Tooling Evidence Mapping (DEV01–DEV12)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Universal Evidence Artifact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Topology &amp; Data Catalog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DataHub / Apache Atlas / Monte Carlo asset catalog, metadata lineage graphs, and domain ownership tags.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DEV02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Orchestration Code &amp; DAG Definitions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/ Prefect operator hooks triggering Great Expectations checkpoints or Soda scans as pipeline tasks.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Execution Logs (90 Days)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Great Expectations validation results, Soda scan JSON summaries, Monte Carlo incident logs, tool agent health logs.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DEV04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Quality &amp; Schema Rules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Expectation suites (.json), Soda Core checks (.yml), Acceldata data reliability rules, anomaly detector configs.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DEV05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Schema Evolution &amp; Drift History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Monte Carlo schema change logs, Great Expectations schema assertions, table schema modification audit trails.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DEV06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SLA &amp; Freshness Metric Monitors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Monte Carlo freshness monitors, Soda Cloud anomaly alerts, PagerDuty / Slack webhook integration payloads.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DEV07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Post-Mortems &amp; RCA Records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Quality tool incident resolution records, MTTD (Mean Time to Detect) metrics, false positive dispute logs.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DEV08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Operational Runbooks &amp; SOPs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Documented SOPs for resolving data quality alerts, quarantine bucket clearance, and schema drift escalation.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DEV09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Replay, Backfill &amp; Retry Scripts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Automated replay workflows triggered upon data quality check failure, dead-letter queue re-drive scripts.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DEV10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CI/CD Data Pipeline Testing Suites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Pre-commit data contract validation gates, GitHub Actions running Soda / Great Expectations in CI pipelines.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Lineage &amp; Telemetry Tracing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OpenLineage emission configs, Monte Carlo end-to-end lineage, DataHub column-level impact blast radius.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DEV12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Resource Saturation &amp; Compute Metrics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Tool warehouse query compute consumption, agent memory and CPU utilization on target databases.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2"/>
        </w:rPr>
        <w:t>2. Tool Evaluation &amp; Optimization Protocols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Great Expectations (GX) &amp; Soda Core (Open-Source Standards)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In-Pipeline Blocking vs Out-of-Band: </w:t>
      </w:r>
      <w:r>
        <w:rPr>
          <w:rFonts w:ascii="Segoe UI" w:hAnsi="Segoe UI"/>
          <w:color w:val="0F172A"/>
          <w:sz w:val="18"/>
        </w:rPr>
        <w:t>Verify whether validation checks execute in-pipeline as blocking gates or out-of-band after target marts are already corrupted.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Query Compute Overhead: </w:t>
      </w:r>
      <w:r>
        <w:rPr>
          <w:rFonts w:ascii="Segoe UI" w:hAnsi="Segoe UI"/>
          <w:color w:val="0F172A"/>
          <w:sz w:val="18"/>
        </w:rPr>
        <w:t>Review assertion efficiency to ensure quality queries do not introduce excessive warehouse compute overhead or lock contention.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Commercial Platforms (Monte Carlo, Acceldata)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False Positive Rate: </w:t>
      </w:r>
      <w:r>
        <w:rPr>
          <w:rFonts w:ascii="Segoe UI" w:hAnsi="Segoe UI"/>
          <w:color w:val="0F172A"/>
          <w:sz w:val="18"/>
        </w:rPr>
        <w:t>Audit alert signal-to-noise ratio: determine what percentage of triggered anomaly alerts were actionable vs ignored false positives.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Runbook Integration &amp; MTTR: </w:t>
      </w:r>
      <w:r>
        <w:rPr>
          <w:rFonts w:ascii="Segoe UI" w:hAnsi="Segoe UI"/>
          <w:color w:val="0F172A"/>
          <w:sz w:val="18"/>
        </w:rPr>
        <w:t>Verify integration into incident response: ensure alerts trigger PagerDuty runbooks rather than ending up in unread Slack channels.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5"/>
      </w:rPr>
      <w:t>Critical Data Pipeline Reliability Assessment | Tooling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5"/>
      </w:rPr>
      <w:t>VITHI IT SOLUTIONS | DATAOPS PRACTICE | TOOLING ANNEXURE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