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6"/>
        </w:rPr>
        <w:t>TECHNICAL AUDIT QUESTIONNAIRE | VITHI DATAOPS PRACTICE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2"/>
        </w:rPr>
        <w:t>DataOps Maturity Assessment Questionnaire (32 Criteria)</w:t>
      </w:r>
    </w:p>
    <w:p>
      <w:pPr>
        <w:spacing w:before="0" w:after="160"/>
      </w:pPr>
      <w:r>
        <w:rPr>
          <w:rFonts w:ascii="Segoe UI" w:hAnsi="Segoe UI"/>
          <w:i/>
          <w:color w:val="64748B"/>
          <w:sz w:val="19"/>
        </w:rPr>
        <w:t>Platform-Neutral Diagnostic Questionnaire Across 8 Core Dimensions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This diagnostic questionnaire evaluates enterprise data engineering maturity across 8 core dimensions. Each criterion is scored on a 1.0 to 5.0 scale against concrete technical evidence (DEV01–DEV12).</w:t>
      </w: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D1: Pipeline Architecture &amp; DAG Hygiene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Evaluates orchestration complexity, worker concurrency, and retry configurations.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Technical Audit Criteria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Evidence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Score (1-5)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Auditor Findings &amp; Observations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D1.1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DAGs and data pipelines modularized into isolated task groups with bounded execution windows?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DEV02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D1.2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worker pools and scheduler queues configured with concurrency limits to prevent task starvation?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DEV03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D1.3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Do pipelines employ exponential backoff retries with randomized jitter on transient failures?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DEV02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D1.4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pipeline state tracked at both job-level and partition-level to support checkpointing?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DEV01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D2: Data Quality &amp; Schema Drift Governance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Evaluates automated contract testing, schema drift quarantine, and anomaly alerts.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Technical Audit Criteria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Evidence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Score (1-5)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Auditor Findings &amp; Observations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D2.1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automated data quality tests (row counts, nulls, ranges) executed at ingestion landing gates?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DEV04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D2.2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schema evolution enforced with automated schema drift detection that blocks unannounced mutations?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DEV05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D2.3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statistical anomaly monitors deployed to catch silent null bursts and duplicate records?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DEV04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D2.4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corrupted batches routed to dead-letter quarantine buckets without halting healthy records?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DEV04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D3: Pipeline Freshness, Lineage &amp; SLAs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Evaluates SLA milestone alerts, dependency tracing, and consumer contracts.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Technical Audit Criteria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Evidence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Score (1-5)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Auditor Findings &amp; Observations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D3.1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formal Freshness SLIs and hard business SLAs defined and monitored for all Tier-1 pipelines?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DEV06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D3.2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end-to-end data lineage tracked from raw source to reporting marts to determine blast radius?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DEV11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D3.3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Do milestone alerts trigger early warnings at 25%, 50%, and 75% batch execution stages?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DEV06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D3.4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a published SLA compliance dashboard accessible to analytical consumers and business leaders?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DEV06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D4: Idempotency, Replay &amp; Disaster Recovery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Evaluates safe backfilling, point-in-time recovery, and deterministic writes.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Technical Audit Criteria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Evidence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Score (1-5)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Auditor Findings &amp; Observations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D4.1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all analytical writes strictly idempotent (using atomic UPSERT / MERGE logic)?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DEV09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D4.2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Can engineers execute safe, partition-level historical backfills without generating duplicate rows?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DEV09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D4.3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point-in-time time-travel recovery mechanics enabled to support instant table rollbacks?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DEV05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D4.4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a verified Disaster Recovery runbook documented with tested RTO (&lt;2h) and RPO (&lt;15m) targets?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DEV08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D5: Incident Response, Runbooks &amp; MTTR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Evaluates failure taxonomy, verified runbooks, and post-incident reviews.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Technical Audit Criteria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Evidence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Score (1-5)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Auditor Findings &amp; Observations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D5.1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pipeline failure taxonomy standardized into distinct failure modes (Schema, Timeout, OOM, Network)?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DEV07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D5.2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verified 1-click operational runbook URLs directly embedded into all P1/P2 alert payloads?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DEV08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D5.3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Mean Time to Resolve (MTTR) formally measured and tracked with a target under 90 minutes?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DEV07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D5.4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blameless Post-Incident Reviews (PIRs) conducted with engineering action items tracked in sprints?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DEV07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D6: CI/CD, Testing &amp; Pipeline Deployment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Evaluates automated deployment gates, unit tests, and pre-commit checks.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Technical Audit Criteria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Evidence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Score (1-5)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Auditor Findings &amp; Observations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D6.1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pipeline DAGs and transformation code deployed automatically via version-controlled CI/CD pipelines?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DEV10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D6.2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Do automated unit test and data transformation suites run on every pull request prior to merge?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DEV10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D6.3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pre-production staging testing performed against representative data volumes before deployment?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DEV10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D6.4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all platform infrastructure codified using Infrastructure as Code (Terraform / CloudFormation)?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DEV02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D7: Data Observability &amp; Health Reporting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Evaluates centralized telemetry, alert signal-to-noise ratio, and scorecards.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Technical Audit Criteria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Evidence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Score (1-5)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Auditor Findings &amp; Observations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D7.1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a unified DataOps Executive Console deployed displaying platform freshness, volume, and quality?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DEV06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D7.2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data pipelines instrumented with custom telemetry for record throughput, latency, and duration?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DEV03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D7.3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alert fatigue mitigated by suppressing duplicate and non-actionable static threshold alarms?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DEV06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D7.4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a public Data Trust Scorecard available showing pipeline health badges to analytical stakeholders?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DEV06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D8: Cost, Efficiency &amp; Resource Saturation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Evaluates compute sizing, queue hygiene, storage tiering, and cost attribution.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Technical Audit Criteria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Target Evidence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Score (1-5)</w:t>
            </w:r>
          </w:p>
        </w:tc>
        <w:tc>
          <w:tcPr>
            <w:tcW w:type="dxa" w:w="2045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Auditor Findings &amp; Observations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D8.1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cluster and warehouse compute resources right-sized using historical CPU and memory telemetry?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DEV12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D8.2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query workload management (WLM) queues optimized to prevent query queuing and spill-to-disk?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DEV12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D8.3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automated storage lifecycle policies enforced to archive raw and historical data partitions?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DEV12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D8.4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compute and storage costs attributed to individual business pipelines and consumer squads?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563EB"/>
                <w:sz w:val="17"/>
              </w:rPr>
              <w:t>DEV12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color w:val="64748B"/>
                <w:sz w:val="17"/>
              </w:rPr>
              <w:t>[ 1 - 5 ]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[ Enter specific findings and architectural evidence 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Segoe UI" w:hAnsi="Segoe UI"/>
        <w:color w:val="64748B"/>
        <w:sz w:val="15"/>
      </w:rPr>
      <w:t>DataOps Maturity Assessment Questionnaire | Multi-Cloud &amp; Hybrid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Segoe UI" w:hAnsi="Segoe UI"/>
        <w:color w:val="64748B"/>
        <w:sz w:val="15"/>
      </w:rPr>
      <w:t>VITHI IT SOLUTIONS | DATAOPS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