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Segoe UI" w:hAnsi="Segoe UI"/>
          <w:b/>
          <w:color w:val="2563EB"/>
          <w:sz w:val="16"/>
        </w:rPr>
        <w:t>TECHNICAL INTAKE FORM | VITHI DATAOPS PRACTICE</w:t>
      </w:r>
    </w:p>
    <w:p>
      <w:pPr>
        <w:spacing w:before="0" w:after="40"/>
      </w:pPr>
      <w:r>
        <w:rPr>
          <w:rFonts w:ascii="Segoe UI" w:hAnsi="Segoe UI"/>
          <w:b/>
          <w:color w:val="0F172A"/>
          <w:sz w:val="32"/>
        </w:rPr>
        <w:t>DataOps Readiness Assessment: Technical Pre-Discovery Form</w:t>
      </w:r>
    </w:p>
    <w:p>
      <w:pPr>
        <w:spacing w:before="0" w:after="160"/>
      </w:pPr>
      <w:r>
        <w:rPr>
          <w:rFonts w:ascii="Segoe UI" w:hAnsi="Segoe UI"/>
          <w:i/>
          <w:color w:val="64748B"/>
          <w:sz w:val="19"/>
        </w:rPr>
        <w:t>Multi-Cloud Architectural Scope, Pipeline Inventory &amp; Operational Intake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This pre-discovery questionnaire captures architectural and operational parameters across heterogeneous data environments prior to engagement kickoff. Completing this intake requires approximately 15 minutes and ensures the 2-week diagnostic targets the pipelines of highest enterprise impact.</w:t>
      </w: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1. Enterprise Scope &amp; Stakeholders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112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Intake Field</w:t>
            </w:r>
          </w:p>
        </w:tc>
        <w:tc>
          <w:tcPr>
            <w:tcW w:type="dxa" w:w="5112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Customer Response / Notes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Client Enterprise &amp; Business Division</w:t>
            </w:r>
          </w:p>
        </w:tc>
        <w:tc>
          <w:tcPr>
            <w:tcW w:type="dxa" w:w="51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[Enter Company Name, Primary Business Units &amp; Industry]</w:t>
            </w:r>
          </w:p>
        </w:tc>
      </w:tr>
      <w:tr>
        <w:trPr>
          <w:cantSplit/>
        </w:trPr>
        <w:tc>
          <w:tcPr>
            <w:tcW w:type="dxa" w:w="51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Executive Sponsor (CDO / VP of Data / CIO)</w:t>
            </w:r>
          </w:p>
        </w:tc>
        <w:tc>
          <w:tcPr>
            <w:tcW w:type="dxa" w:w="51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[Name, Title, Departmental Ownership]</w:t>
            </w:r>
          </w:p>
        </w:tc>
      </w:tr>
      <w:tr>
        <w:trPr>
          <w:cantSplit/>
        </w:trPr>
        <w:tc>
          <w:tcPr>
            <w:tcW w:type="dxa" w:w="51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Lead Data Architect &amp; Squad Lead</w:t>
            </w:r>
          </w:p>
        </w:tc>
        <w:tc>
          <w:tcPr>
            <w:tcW w:type="dxa" w:w="5112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[Name, Contact Information, Technical Scope]</w:t>
            </w:r>
          </w:p>
        </w:tc>
      </w:tr>
      <w:tr>
        <w:trPr>
          <w:cantSplit/>
        </w:trPr>
        <w:tc>
          <w:tcPr>
            <w:tcW w:type="dxa" w:w="51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Cloud &amp; Platform Mix</w:t>
            </w:r>
          </w:p>
        </w:tc>
        <w:tc>
          <w:tcPr>
            <w:tcW w:type="dxa" w:w="5112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[e.g. Multi-Cloud: AWS + Azure, Snowflake on AWS, Databricks on Azure, GCP BigQuery]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2. Critical Pipeline Identification (Top 3–5 Target Pipelines)</w:t>
      </w:r>
    </w:p>
    <w:p>
      <w:pPr>
        <w:spacing w:before="0" w:after="60" w:line="276" w:lineRule="auto"/>
      </w:pPr>
      <w:r>
        <w:rPr>
          <w:rFonts w:ascii="Segoe UI" w:hAnsi="Segoe UI"/>
          <w:color w:val="0F172A"/>
          <w:sz w:val="18"/>
        </w:rPr>
        <w:t>Identify the top 3 to 5 data pipelines where delays or data corruption cause critical operational disruption: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/>
        </w:trPr>
        <w:tc>
          <w:tcPr>
            <w:tcW w:type="dxa" w:w="2045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Pipeline ID / Name</w:t>
            </w:r>
          </w:p>
        </w:tc>
        <w:tc>
          <w:tcPr>
            <w:tcW w:type="dxa" w:w="2045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Business Function</w:t>
            </w:r>
          </w:p>
        </w:tc>
        <w:tc>
          <w:tcPr>
            <w:tcW w:type="dxa" w:w="2045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Tech Stack Components</w:t>
            </w:r>
          </w:p>
        </w:tc>
        <w:tc>
          <w:tcPr>
            <w:tcW w:type="dxa" w:w="2045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Delivery SLA Window</w:t>
            </w:r>
          </w:p>
        </w:tc>
        <w:tc>
          <w:tcPr>
            <w:tcW w:type="dxa" w:w="2045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Failure Mode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1 (e.g. Daily Financial Close)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Corporate Ledger &amp; P&amp;L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Airflow, Databricks, Snowflake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06:00 AM Local (Hard SLA)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Upstream schema drift; OOM cluster errors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2 (e.g. Customer 360 Feed)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Marketing &amp; Personalization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Kafka, Spark, BigQuery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Hourly Batches (&lt;15m SLA)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Kafka consumer lag; task retry loops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3 (e.g. Monthly Invoicing)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Billing &amp; Revenue Recognition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Azure Data Factory, Synapse, SQL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1st of Month 02:00 UTC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Manual backfills generate duplicate line items</w:t>
            </w:r>
          </w:p>
        </w:tc>
      </w:tr>
      <w:tr>
        <w:trPr>
          <w:cantSplit/>
        </w:trPr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4 (Candidate)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pipeline name]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[Tech stack components]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SLA]</w:t>
            </w:r>
          </w:p>
        </w:tc>
        <w:tc>
          <w:tcPr>
            <w:tcW w:type="dxa" w:w="2045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[Common breakdown]</w:t>
            </w:r>
          </w:p>
        </w:tc>
      </w:tr>
      <w:tr>
        <w:trPr>
          <w:cantSplit/>
        </w:trPr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Pipeline 5 (Candidate)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pipeline name]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[Tech stack components]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[Target SLA]</w:t>
            </w:r>
          </w:p>
        </w:tc>
        <w:tc>
          <w:tcPr>
            <w:tcW w:type="dxa" w:w="2045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[Common breakdown]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Segoe UI" w:hAnsi="Segoe UI"/>
          <w:b/>
          <w:color w:val="1E3A8A"/>
          <w:sz w:val="22"/>
        </w:rPr>
        <w:t>3. Platform Tooling &amp; Operational Readiness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Operational Dimension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Current Environment Tooling / State</w:t>
            </w:r>
          </w:p>
        </w:tc>
        <w:tc>
          <w:tcPr>
            <w:tcW w:type="dxa" w:w="3408"/>
            <w:shd w:fill="334155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Segoe UI" w:hAnsi="Segoe UI"/>
                <w:b/>
                <w:color w:val="FFFFFF"/>
                <w:sz w:val="17"/>
              </w:rPr>
              <w:t>Primary Pain Point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Orchestration &amp; Workflow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Airflow / Prefect / ADF / Step Functions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Monolithic DAGs; frequent scheduler timeouts and worker starvation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Quality &amp; Testing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Manual SQL scripts / Great Expectations / dbt test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Checks run after loading; business users report corrupted dashboards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Replay &amp; Historical Backfills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Manual Python scripts / Ad-hoc SQL queries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High risk of duplicate rows and partition corruption during re-runs</w:t>
            </w:r>
          </w:p>
        </w:tc>
      </w:tr>
      <w:tr>
        <w:trPr>
          <w:cantSplit/>
        </w:trPr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Monitoring &amp; Alerting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Datadog / CloudWatch / Email notifications</w:t>
            </w:r>
          </w:p>
        </w:tc>
        <w:tc>
          <w:tcPr>
            <w:tcW w:type="dxa" w:w="3408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Alert fatigue; 80%+ non-actionable alarms; missing runbook links</w:t>
            </w:r>
          </w:p>
        </w:tc>
      </w:tr>
      <w:tr>
        <w:trPr>
          <w:cantSplit/>
        </w:trPr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0F172A"/>
                <w:sz w:val="17"/>
              </w:rPr>
              <w:t>Data Lineage &amp; Catalog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OpenLineage / DataHub / Unity Catalog / None</w:t>
            </w:r>
          </w:p>
        </w:tc>
        <w:tc>
          <w:tcPr>
            <w:tcW w:type="dxa" w:w="3408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Segoe UI" w:hAnsi="Segoe UI"/>
                <w:sz w:val="17"/>
              </w:rPr>
              <w:t>Cross-system lineage missing; difficult to identify downstream blast radius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</w:pPr>
    <w:r>
      <w:rPr>
        <w:rFonts w:ascii="Segoe UI" w:hAnsi="Segoe UI"/>
        <w:color w:val="64748B"/>
        <w:sz w:val="15"/>
      </w:rPr>
      <w:t>Pre-Discovery Intake Form | Multi-Cloud &amp; Hybrid Data Platform |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Segoe UI" w:hAnsi="Segoe UI"/>
        <w:color w:val="64748B"/>
        <w:sz w:val="15"/>
      </w:rPr>
      <w:t>VITHI IT SOLUTIONS | DATAOPS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