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6"/>
        </w:rPr>
        <w:t>ENTERPRISE TRANSFORMATION CASE STUDY | VITHI DATAOPS PRACTICE</w:t>
      </w:r>
    </w:p>
    <w:p>
      <w:pPr>
        <w:spacing w:before="0" w:after="40"/>
      </w:pPr>
      <w:r>
        <w:rPr>
          <w:rFonts w:ascii="Segoe UI" w:hAnsi="Segoe UI"/>
          <w:b/>
          <w:color w:val="0F172A"/>
          <w:sz w:val="32"/>
        </w:rPr>
        <w:t>Multi-Cloud Data Platform Reliability Transformation</w:t>
      </w:r>
    </w:p>
    <w:p>
      <w:pPr>
        <w:spacing w:before="0" w:after="160"/>
      </w:pPr>
      <w:r>
        <w:rPr>
          <w:rFonts w:ascii="Segoe UI" w:hAnsi="Segoe UI"/>
          <w:i/>
          <w:color w:val="64748B"/>
          <w:sz w:val="19"/>
        </w:rPr>
        <w:t>How an Enterprise Financial Group Reclaimed 350+ Engineering Hours/Month and Slashed MTTR by 86%</w:t>
      </w:r>
    </w:p>
    <w:tbl>
      <w:tblPr>
        <w:tblW w:type="auto" w:w="0"/>
        <w:jc w:val="center"/>
        <w:tblLook w:firstColumn="1" w:firstRow="1" w:lastColumn="0" w:lastRow="0" w:noHBand="0" w:noVBand="1" w:val="04A0"/>
      </w:tblPr>
      <w:tblGrid>
        <w:gridCol w:w="10224"/>
      </w:tblGrid>
      <w:tr>
        <w:tc>
          <w:tcPr>
            <w:tcW w:type="dxa" w:w="10224"/>
            <w:shd w:fill="F1F5F9"/>
            <w:tcMar>
              <w:top w:w="80" w:type="dxa"/>
              <w:bottom w:w="80" w:type="dxa"/>
              <w:left w:w="120" w:type="dxa"/>
              <w:right w:w="120" w:type="dxa"/>
            </w:tcMar>
            <w:tcBorders>
              <w:left w:val="single" w:sz="24" w:space="0" w:color="1E3A8A"/>
              <w:top w:val="none"/>
              <w:right w:val="none"/>
              <w:bottom w:val="none"/>
            </w:tcBorders>
          </w:tcPr>
          <w:p>
            <w:pPr>
              <w:spacing w:before="0" w:after="0"/>
            </w:pPr>
            <w:r>
              <w:rPr>
                <w:rFonts w:ascii="Segoe UI" w:hAnsi="Segoe UI"/>
                <w:b/>
                <w:color w:val="1E3A8A"/>
                <w:sz w:val="17"/>
              </w:rPr>
              <w:t>ENGAGEMENT CONTEXT</w:t>
              <w:br/>
            </w:r>
            <w:r>
              <w:rPr>
                <w:rFonts w:ascii="Segoe UI" w:hAnsi="Segoe UI"/>
                <w:i/>
                <w:color w:val="0F172A"/>
                <w:sz w:val="17"/>
              </w:rPr>
              <w:t>CLIENT PROFILE: Tier-1 Diversified Financial Services Enterprise</w:t>
              <w:br/>
              <w:t>ENVIRONMENT: Multi-Cloud Hybrid (Azure Data Factory, Databricks on Azure, Snowflake on AWS, Apache Kafka)</w:t>
              <w:br/>
              <w:t>ENGAGEMENT DURATION: 2-Week Read-Only Evidence Diagnostic + 90-Day Reliability Sprint</w:t>
            </w:r>
          </w:p>
        </w:tc>
      </w:tr>
    </w:tbl>
    <w:p>
      <w:pPr>
        <w:spacing w:after="40"/>
      </w:pPr>
    </w:p>
    <w:p>
      <w:pPr>
        <w:keepNext/>
        <w:spacing w:before="180" w:after="60"/>
      </w:pPr>
      <w:r>
        <w:rPr>
          <w:rFonts w:ascii="Segoe UI" w:hAnsi="Segoe UI"/>
          <w:b/>
          <w:color w:val="1E3A8A"/>
          <w:sz w:val="22"/>
        </w:rPr>
        <w:t>1. Executive Summary &amp; Operational Challenge</w:t>
      </w:r>
    </w:p>
    <w:p>
      <w:pPr>
        <w:spacing w:before="0" w:after="60" w:line="276" w:lineRule="auto"/>
      </w:pPr>
      <w:r>
        <w:rPr>
          <w:rFonts w:ascii="Segoe UI" w:hAnsi="Segoe UI"/>
          <w:color w:val="0F172A"/>
          <w:sz w:val="18"/>
        </w:rPr>
        <w:t>The enterprise data platform operated across a hybrid multi-cloud infrastructure: ingestion occurred via Azure Data Factory and Apache Kafka, processing ran on Databricks clusters, and analytics were served through Snowflake. However, rapid platform expansion created severe operational instability. Every month, an average of 22 batch pipelines failed or stalled, requiring 14 to 18 hours of manual firefighting per incident.</w:t>
      </w:r>
    </w:p>
    <w:p>
      <w:pPr>
        <w:spacing w:before="0" w:after="60" w:line="276" w:lineRule="auto"/>
      </w:pPr>
      <w:r>
        <w:rPr>
          <w:rFonts w:ascii="Segoe UI" w:hAnsi="Segoe UI"/>
          <w:color w:val="0F172A"/>
          <w:sz w:val="18"/>
        </w:rPr>
        <w:t>During month-end executive closes, an unannounced schema mutation in an upstream customer database broke the Core Portfolio Ledger in Snowflake, causing a 12-hour executive reporting delay and serious regulatory compliance exposure. Vithi IT Solutions was engaged to conduct a focused two-week DataOps diagnostic followed by a 90-day stabilization implementation sprint.</w:t>
      </w:r>
    </w:p>
    <w:p>
      <w:pPr>
        <w:keepNext/>
        <w:spacing w:before="180" w:after="60"/>
      </w:pPr>
      <w:r>
        <w:rPr>
          <w:rFonts w:ascii="Segoe UI" w:hAnsi="Segoe UI"/>
          <w:b/>
          <w:color w:val="1E3A8A"/>
          <w:sz w:val="22"/>
        </w:rPr>
        <w:t>2. Operational Trajectory: Before vs After Transformation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56"/>
        <w:gridCol w:w="2556"/>
        <w:gridCol w:w="2556"/>
        <w:gridCol w:w="2556"/>
      </w:tblGrid>
      <w:tr>
        <w:trPr>
          <w:cantSplit/>
          <w:tblHeader/>
        </w:trPr>
        <w:tc>
          <w:tcPr>
            <w:tcW w:type="dxa" w:w="2556"/>
            <w:shd w:fill="1E3A8A"/>
            <w:tcMar>
              <w:top w:w="100" w:type="dxa"/>
              <w:bottom w:w="100" w:type="dxa"/>
              <w:left w:w="100" w:type="dxa"/>
              <w:right w:w="100" w:type="dxa"/>
            </w:tcMar>
          </w:tcPr>
          <w:p>
            <w:pPr>
              <w:spacing w:before="0" w:after="0"/>
              <w:jc w:val="center"/>
            </w:pPr>
            <w:r>
              <w:rPr>
                <w:rFonts w:ascii="Segoe UI" w:hAnsi="Segoe UI"/>
                <w:b/>
                <w:color w:val="FFFFFF"/>
                <w:sz w:val="17"/>
              </w:rPr>
              <w:t>Operational Performance Metric</w:t>
            </w:r>
          </w:p>
        </w:tc>
        <w:tc>
          <w:tcPr>
            <w:tcW w:type="dxa" w:w="2556"/>
            <w:shd w:fill="1E3A8A"/>
            <w:tcMar>
              <w:top w:w="100" w:type="dxa"/>
              <w:bottom w:w="100" w:type="dxa"/>
              <w:left w:w="100" w:type="dxa"/>
              <w:right w:w="100" w:type="dxa"/>
            </w:tcMar>
          </w:tcPr>
          <w:p>
            <w:pPr>
              <w:spacing w:before="0" w:after="0"/>
              <w:jc w:val="center"/>
            </w:pPr>
            <w:r>
              <w:rPr>
                <w:rFonts w:ascii="Segoe UI" w:hAnsi="Segoe UI"/>
                <w:b/>
                <w:color w:val="FFFFFF"/>
                <w:sz w:val="17"/>
              </w:rPr>
              <w:t>Pre-Assessment Baseline</w:t>
            </w:r>
          </w:p>
        </w:tc>
        <w:tc>
          <w:tcPr>
            <w:tcW w:type="dxa" w:w="2556"/>
            <w:shd w:fill="1E3A8A"/>
            <w:tcMar>
              <w:top w:w="100" w:type="dxa"/>
              <w:bottom w:w="100" w:type="dxa"/>
              <w:left w:w="100" w:type="dxa"/>
              <w:right w:w="100" w:type="dxa"/>
            </w:tcMar>
          </w:tcPr>
          <w:p>
            <w:pPr>
              <w:spacing w:before="0" w:after="0"/>
              <w:jc w:val="center"/>
            </w:pPr>
            <w:r>
              <w:rPr>
                <w:rFonts w:ascii="Segoe UI" w:hAnsi="Segoe UI"/>
                <w:b/>
                <w:color w:val="FFFFFF"/>
                <w:sz w:val="17"/>
              </w:rPr>
              <w:t>Post-Transformation State</w:t>
            </w:r>
          </w:p>
        </w:tc>
        <w:tc>
          <w:tcPr>
            <w:tcW w:type="dxa" w:w="2556"/>
            <w:shd w:fill="1E3A8A"/>
            <w:tcMar>
              <w:top w:w="100" w:type="dxa"/>
              <w:bottom w:w="100" w:type="dxa"/>
              <w:left w:w="100" w:type="dxa"/>
              <w:right w:w="100" w:type="dxa"/>
            </w:tcMar>
          </w:tcPr>
          <w:p>
            <w:pPr>
              <w:spacing w:before="0" w:after="0"/>
              <w:jc w:val="center"/>
            </w:pPr>
            <w:r>
              <w:rPr>
                <w:rFonts w:ascii="Segoe UI" w:hAnsi="Segoe UI"/>
                <w:b/>
                <w:color w:val="FFFFFF"/>
                <w:sz w:val="17"/>
              </w:rPr>
              <w:t>Strategic Reliability Impact</w:t>
            </w:r>
          </w:p>
        </w:tc>
      </w:tr>
      <w:tr>
        <w:trPr>
          <w:cantSplit/>
        </w:trPr>
        <w:tc>
          <w:tcPr>
            <w:tcW w:type="dxa" w:w="2556"/>
            <w:shd w:fill="FFFFFF"/>
            <w:tcMar>
              <w:top w:w="60" w:type="dxa"/>
              <w:bottom w:w="60" w:type="dxa"/>
              <w:left w:w="80" w:type="dxa"/>
              <w:right w:w="80" w:type="dxa"/>
            </w:tcMar>
          </w:tcPr>
          <w:p>
            <w:pPr>
              <w:spacing w:before="0" w:after="0"/>
            </w:pPr>
            <w:r>
              <w:rPr>
                <w:rFonts w:ascii="Segoe UI" w:hAnsi="Segoe UI"/>
                <w:b/>
                <w:color w:val="0F172A"/>
                <w:sz w:val="17"/>
              </w:rPr>
              <w:t>Mean Time to Resolve (MTTR)</w:t>
            </w:r>
          </w:p>
        </w:tc>
        <w:tc>
          <w:tcPr>
            <w:tcW w:type="dxa" w:w="2556"/>
            <w:shd w:fill="FFFFFF"/>
            <w:tcMar>
              <w:top w:w="60" w:type="dxa"/>
              <w:bottom w:w="60" w:type="dxa"/>
              <w:left w:w="80" w:type="dxa"/>
              <w:right w:w="80" w:type="dxa"/>
            </w:tcMar>
          </w:tcPr>
          <w:p>
            <w:pPr>
              <w:spacing w:before="0" w:after="0"/>
            </w:pPr>
            <w:r>
              <w:rPr>
                <w:rFonts w:ascii="Segoe UI" w:hAnsi="Segoe UI"/>
                <w:color w:val="0F172A"/>
                <w:sz w:val="17"/>
              </w:rPr>
              <w:t>15 hours average per incident</w:t>
            </w:r>
          </w:p>
        </w:tc>
        <w:tc>
          <w:tcPr>
            <w:tcW w:type="dxa" w:w="2556"/>
            <w:shd w:fill="FFFFFF"/>
            <w:tcMar>
              <w:top w:w="60" w:type="dxa"/>
              <w:bottom w:w="60" w:type="dxa"/>
              <w:left w:w="80" w:type="dxa"/>
              <w:right w:w="80" w:type="dxa"/>
            </w:tcMar>
          </w:tcPr>
          <w:p>
            <w:pPr>
              <w:spacing w:before="0" w:after="0"/>
            </w:pPr>
            <w:r>
              <w:rPr>
                <w:rFonts w:ascii="Segoe UI" w:hAnsi="Segoe UI"/>
                <w:b/>
                <w:color w:val="166534"/>
                <w:sz w:val="17"/>
              </w:rPr>
              <w:t>75 minutes (-91%)</w:t>
            </w:r>
          </w:p>
        </w:tc>
        <w:tc>
          <w:tcPr>
            <w:tcW w:type="dxa" w:w="2556"/>
            <w:shd w:fill="FFFFFF"/>
            <w:tcMar>
              <w:top w:w="60" w:type="dxa"/>
              <w:bottom w:w="60" w:type="dxa"/>
              <w:left w:w="80" w:type="dxa"/>
              <w:right w:w="80" w:type="dxa"/>
            </w:tcMar>
          </w:tcPr>
          <w:p>
            <w:pPr>
              <w:spacing w:before="0" w:after="0"/>
            </w:pPr>
            <w:r>
              <w:rPr>
                <w:rFonts w:ascii="Segoe UI" w:hAnsi="Segoe UI"/>
                <w:color w:val="0F172A"/>
                <w:sz w:val="17"/>
              </w:rPr>
              <w:t>Automated root-cause diagnostics pinpoint failure stages instantly</w:t>
            </w:r>
          </w:p>
        </w:tc>
      </w:tr>
      <w:tr>
        <w:trPr>
          <w:cantSplit/>
        </w:trPr>
        <w:tc>
          <w:tcPr>
            <w:tcW w:type="dxa" w:w="2556"/>
            <w:shd w:fill="F8FAFC"/>
            <w:tcMar>
              <w:top w:w="60" w:type="dxa"/>
              <w:bottom w:w="60" w:type="dxa"/>
              <w:left w:w="80" w:type="dxa"/>
              <w:right w:w="80" w:type="dxa"/>
            </w:tcMar>
          </w:tcPr>
          <w:p>
            <w:pPr>
              <w:spacing w:before="0" w:after="0"/>
            </w:pPr>
            <w:r>
              <w:rPr>
                <w:rFonts w:ascii="Segoe UI" w:hAnsi="Segoe UI"/>
                <w:b/>
                <w:color w:val="0F172A"/>
                <w:sz w:val="17"/>
              </w:rPr>
              <w:t>Monthly Pipeline Failure Rate</w:t>
            </w:r>
          </w:p>
        </w:tc>
        <w:tc>
          <w:tcPr>
            <w:tcW w:type="dxa" w:w="2556"/>
            <w:shd w:fill="F8FAFC"/>
            <w:tcMar>
              <w:top w:w="60" w:type="dxa"/>
              <w:bottom w:w="60" w:type="dxa"/>
              <w:left w:w="80" w:type="dxa"/>
              <w:right w:w="80" w:type="dxa"/>
            </w:tcMar>
          </w:tcPr>
          <w:p>
            <w:pPr>
              <w:spacing w:before="0" w:after="0"/>
            </w:pPr>
            <w:r>
              <w:rPr>
                <w:rFonts w:ascii="Segoe UI" w:hAnsi="Segoe UI"/>
                <w:color w:val="0F172A"/>
                <w:sz w:val="17"/>
              </w:rPr>
              <w:t>22 failures / month</w:t>
            </w:r>
          </w:p>
        </w:tc>
        <w:tc>
          <w:tcPr>
            <w:tcW w:type="dxa" w:w="2556"/>
            <w:shd w:fill="F8FAFC"/>
            <w:tcMar>
              <w:top w:w="60" w:type="dxa"/>
              <w:bottom w:w="60" w:type="dxa"/>
              <w:left w:w="80" w:type="dxa"/>
              <w:right w:w="80" w:type="dxa"/>
            </w:tcMar>
          </w:tcPr>
          <w:p>
            <w:pPr>
              <w:spacing w:before="0" w:after="0"/>
            </w:pPr>
            <w:r>
              <w:rPr>
                <w:rFonts w:ascii="Segoe UI" w:hAnsi="Segoe UI"/>
                <w:b/>
                <w:color w:val="166534"/>
                <w:sz w:val="17"/>
              </w:rPr>
              <w:t>&lt;3 failures / month (-86%)</w:t>
            </w:r>
          </w:p>
        </w:tc>
        <w:tc>
          <w:tcPr>
            <w:tcW w:type="dxa" w:w="2556"/>
            <w:shd w:fill="F8FAFC"/>
            <w:tcMar>
              <w:top w:w="60" w:type="dxa"/>
              <w:bottom w:w="60" w:type="dxa"/>
              <w:left w:w="80" w:type="dxa"/>
              <w:right w:w="80" w:type="dxa"/>
            </w:tcMar>
          </w:tcPr>
          <w:p>
            <w:pPr>
              <w:spacing w:before="0" w:after="0"/>
            </w:pPr>
            <w:r>
              <w:rPr>
                <w:rFonts w:ascii="Segoe UI" w:hAnsi="Segoe UI"/>
                <w:color w:val="0F172A"/>
                <w:sz w:val="17"/>
              </w:rPr>
              <w:t>Circuit breakers and exponential backoff retry hygiene eliminate stalls</w:t>
            </w:r>
          </w:p>
        </w:tc>
      </w:tr>
      <w:tr>
        <w:trPr>
          <w:cantSplit/>
        </w:trPr>
        <w:tc>
          <w:tcPr>
            <w:tcW w:type="dxa" w:w="2556"/>
            <w:shd w:fill="FFFFFF"/>
            <w:tcMar>
              <w:top w:w="60" w:type="dxa"/>
              <w:bottom w:w="60" w:type="dxa"/>
              <w:left w:w="80" w:type="dxa"/>
              <w:right w:w="80" w:type="dxa"/>
            </w:tcMar>
          </w:tcPr>
          <w:p>
            <w:pPr>
              <w:spacing w:before="0" w:after="0"/>
            </w:pPr>
            <w:r>
              <w:rPr>
                <w:rFonts w:ascii="Segoe UI" w:hAnsi="Segoe UI"/>
                <w:b/>
                <w:color w:val="0F172A"/>
                <w:sz w:val="17"/>
              </w:rPr>
              <w:t>Data Quality Defect Catch</w:t>
            </w:r>
          </w:p>
        </w:tc>
        <w:tc>
          <w:tcPr>
            <w:tcW w:type="dxa" w:w="2556"/>
            <w:shd w:fill="FFFFFF"/>
            <w:tcMar>
              <w:top w:w="60" w:type="dxa"/>
              <w:bottom w:w="60" w:type="dxa"/>
              <w:left w:w="80" w:type="dxa"/>
              <w:right w:w="80" w:type="dxa"/>
            </w:tcMar>
          </w:tcPr>
          <w:p>
            <w:pPr>
              <w:spacing w:before="0" w:after="0"/>
            </w:pPr>
            <w:r>
              <w:rPr>
                <w:rFonts w:ascii="Segoe UI" w:hAnsi="Segoe UI"/>
                <w:color w:val="0F172A"/>
                <w:sz w:val="17"/>
              </w:rPr>
              <w:t>Caught by business users</w:t>
            </w:r>
          </w:p>
        </w:tc>
        <w:tc>
          <w:tcPr>
            <w:tcW w:type="dxa" w:w="2556"/>
            <w:shd w:fill="FFFFFF"/>
            <w:tcMar>
              <w:top w:w="60" w:type="dxa"/>
              <w:bottom w:w="60" w:type="dxa"/>
              <w:left w:w="80" w:type="dxa"/>
              <w:right w:w="80" w:type="dxa"/>
            </w:tcMar>
          </w:tcPr>
          <w:p>
            <w:pPr>
              <w:spacing w:before="0" w:after="0"/>
            </w:pPr>
            <w:r>
              <w:rPr>
                <w:rFonts w:ascii="Segoe UI" w:hAnsi="Segoe UI"/>
                <w:b/>
                <w:color w:val="166534"/>
                <w:sz w:val="17"/>
              </w:rPr>
              <w:t>&lt;10 minutes (Ingestion gate)</w:t>
            </w:r>
          </w:p>
        </w:tc>
        <w:tc>
          <w:tcPr>
            <w:tcW w:type="dxa" w:w="2556"/>
            <w:shd w:fill="FFFFFF"/>
            <w:tcMar>
              <w:top w:w="60" w:type="dxa"/>
              <w:bottom w:w="60" w:type="dxa"/>
              <w:left w:w="80" w:type="dxa"/>
              <w:right w:w="80" w:type="dxa"/>
            </w:tcMar>
          </w:tcPr>
          <w:p>
            <w:pPr>
              <w:spacing w:before="0" w:after="0"/>
            </w:pPr>
            <w:r>
              <w:rPr>
                <w:rFonts w:ascii="Segoe UI" w:hAnsi="Segoe UI"/>
                <w:color w:val="0F172A"/>
                <w:sz w:val="17"/>
              </w:rPr>
              <w:t>Schema drift quarantined before corrupting analytical tables in Snowflake</w:t>
            </w:r>
          </w:p>
        </w:tc>
      </w:tr>
      <w:tr>
        <w:trPr>
          <w:cantSplit/>
        </w:trPr>
        <w:tc>
          <w:tcPr>
            <w:tcW w:type="dxa" w:w="2556"/>
            <w:shd w:fill="F8FAFC"/>
            <w:tcMar>
              <w:top w:w="60" w:type="dxa"/>
              <w:bottom w:w="60" w:type="dxa"/>
              <w:left w:w="80" w:type="dxa"/>
              <w:right w:w="80" w:type="dxa"/>
            </w:tcMar>
          </w:tcPr>
          <w:p>
            <w:pPr>
              <w:spacing w:before="0" w:after="0"/>
            </w:pPr>
            <w:r>
              <w:rPr>
                <w:rFonts w:ascii="Segoe UI" w:hAnsi="Segoe UI"/>
                <w:b/>
                <w:color w:val="0F172A"/>
                <w:sz w:val="17"/>
              </w:rPr>
              <w:t>Engineering Capacity Reclaimed</w:t>
            </w:r>
          </w:p>
        </w:tc>
        <w:tc>
          <w:tcPr>
            <w:tcW w:type="dxa" w:w="2556"/>
            <w:shd w:fill="F8FAFC"/>
            <w:tcMar>
              <w:top w:w="60" w:type="dxa"/>
              <w:bottom w:w="60" w:type="dxa"/>
              <w:left w:w="80" w:type="dxa"/>
              <w:right w:w="80" w:type="dxa"/>
            </w:tcMar>
          </w:tcPr>
          <w:p>
            <w:pPr>
              <w:spacing w:before="0" w:after="0"/>
            </w:pPr>
            <w:r>
              <w:rPr>
                <w:rFonts w:ascii="Segoe UI" w:hAnsi="Segoe UI"/>
                <w:color w:val="0F172A"/>
                <w:sz w:val="17"/>
              </w:rPr>
              <w:t>350 hours/month on triage</w:t>
            </w:r>
          </w:p>
        </w:tc>
        <w:tc>
          <w:tcPr>
            <w:tcW w:type="dxa" w:w="2556"/>
            <w:shd w:fill="F8FAFC"/>
            <w:tcMar>
              <w:top w:w="60" w:type="dxa"/>
              <w:bottom w:w="60" w:type="dxa"/>
              <w:left w:w="80" w:type="dxa"/>
              <w:right w:w="80" w:type="dxa"/>
            </w:tcMar>
          </w:tcPr>
          <w:p>
            <w:pPr>
              <w:spacing w:before="0" w:after="0"/>
            </w:pPr>
            <w:r>
              <w:rPr>
                <w:rFonts w:ascii="Segoe UI" w:hAnsi="Segoe UI"/>
                <w:b/>
                <w:color w:val="166534"/>
                <w:sz w:val="17"/>
              </w:rPr>
              <w:t>350 hrs/mo recovered</w:t>
            </w:r>
          </w:p>
        </w:tc>
        <w:tc>
          <w:tcPr>
            <w:tcW w:type="dxa" w:w="2556"/>
            <w:shd w:fill="F8FAFC"/>
            <w:tcMar>
              <w:top w:w="60" w:type="dxa"/>
              <w:bottom w:w="60" w:type="dxa"/>
              <w:left w:w="80" w:type="dxa"/>
              <w:right w:w="80" w:type="dxa"/>
            </w:tcMar>
          </w:tcPr>
          <w:p>
            <w:pPr>
              <w:spacing w:before="0" w:after="0"/>
            </w:pPr>
            <w:r>
              <w:rPr>
                <w:rFonts w:ascii="Segoe UI" w:hAnsi="Segoe UI"/>
                <w:color w:val="0F172A"/>
                <w:sz w:val="17"/>
              </w:rPr>
              <w:t>Engineers freed from repetitive firefighting to build core analytical models</w:t>
            </w:r>
          </w:p>
        </w:tc>
      </w:tr>
      <w:tr>
        <w:trPr>
          <w:cantSplit/>
        </w:trPr>
        <w:tc>
          <w:tcPr>
            <w:tcW w:type="dxa" w:w="2556"/>
            <w:shd w:fill="FFFFFF"/>
            <w:tcMar>
              <w:top w:w="60" w:type="dxa"/>
              <w:bottom w:w="60" w:type="dxa"/>
              <w:left w:w="80" w:type="dxa"/>
              <w:right w:w="80" w:type="dxa"/>
            </w:tcMar>
          </w:tcPr>
          <w:p>
            <w:pPr>
              <w:spacing w:before="0" w:after="0"/>
            </w:pPr>
            <w:r>
              <w:rPr>
                <w:rFonts w:ascii="Segoe UI" w:hAnsi="Segoe UI"/>
                <w:b/>
                <w:color w:val="0F172A"/>
                <w:sz w:val="17"/>
              </w:rPr>
              <w:t>Critical T+1 SLA Delivery</w:t>
            </w:r>
          </w:p>
        </w:tc>
        <w:tc>
          <w:tcPr>
            <w:tcW w:type="dxa" w:w="2556"/>
            <w:shd w:fill="FFFFFF"/>
            <w:tcMar>
              <w:top w:w="60" w:type="dxa"/>
              <w:bottom w:w="60" w:type="dxa"/>
              <w:left w:w="80" w:type="dxa"/>
              <w:right w:w="80" w:type="dxa"/>
            </w:tcMar>
          </w:tcPr>
          <w:p>
            <w:pPr>
              <w:spacing w:before="0" w:after="0"/>
            </w:pPr>
            <w:r>
              <w:rPr>
                <w:rFonts w:ascii="Segoe UI" w:hAnsi="Segoe UI"/>
                <w:color w:val="0F172A"/>
                <w:sz w:val="17"/>
              </w:rPr>
              <w:t>74% on-time delivery</w:t>
            </w:r>
          </w:p>
        </w:tc>
        <w:tc>
          <w:tcPr>
            <w:tcW w:type="dxa" w:w="2556"/>
            <w:shd w:fill="FFFFFF"/>
            <w:tcMar>
              <w:top w:w="60" w:type="dxa"/>
              <w:bottom w:w="60" w:type="dxa"/>
              <w:left w:w="80" w:type="dxa"/>
              <w:right w:w="80" w:type="dxa"/>
            </w:tcMar>
          </w:tcPr>
          <w:p>
            <w:pPr>
              <w:spacing w:before="0" w:after="0"/>
            </w:pPr>
            <w:r>
              <w:rPr>
                <w:rFonts w:ascii="Segoe UI" w:hAnsi="Segoe UI"/>
                <w:b/>
                <w:color w:val="166534"/>
                <w:sz w:val="17"/>
              </w:rPr>
              <w:t>99.9% on-time delivery</w:t>
            </w:r>
          </w:p>
        </w:tc>
        <w:tc>
          <w:tcPr>
            <w:tcW w:type="dxa" w:w="2556"/>
            <w:shd w:fill="FFFFFF"/>
            <w:tcMar>
              <w:top w:w="60" w:type="dxa"/>
              <w:bottom w:w="60" w:type="dxa"/>
              <w:left w:w="80" w:type="dxa"/>
              <w:right w:w="80" w:type="dxa"/>
            </w:tcMar>
          </w:tcPr>
          <w:p>
            <w:pPr>
              <w:spacing w:before="0" w:after="0"/>
            </w:pPr>
            <w:r>
              <w:rPr>
                <w:rFonts w:ascii="Segoe UI" w:hAnsi="Segoe UI"/>
                <w:color w:val="0F172A"/>
                <w:sz w:val="17"/>
              </w:rPr>
              <w:t>Guarantees morning 06:00 AM wealth reporting and executive compliance</w:t>
            </w:r>
          </w:p>
        </w:tc>
      </w:tr>
      <w:tr>
        <w:trPr>
          <w:cantSplit/>
        </w:trPr>
        <w:tc>
          <w:tcPr>
            <w:tcW w:type="dxa" w:w="2556"/>
            <w:shd w:fill="F8FAFC"/>
            <w:tcMar>
              <w:top w:w="60" w:type="dxa"/>
              <w:bottom w:w="60" w:type="dxa"/>
              <w:left w:w="80" w:type="dxa"/>
              <w:right w:w="80" w:type="dxa"/>
            </w:tcMar>
          </w:tcPr>
          <w:p>
            <w:pPr>
              <w:spacing w:before="0" w:after="0"/>
            </w:pPr>
            <w:r>
              <w:rPr>
                <w:rFonts w:ascii="Segoe UI" w:hAnsi="Segoe UI"/>
                <w:b/>
                <w:color w:val="0F172A"/>
                <w:sz w:val="17"/>
              </w:rPr>
              <w:t>Replay &amp; Backfill Reliability</w:t>
            </w:r>
          </w:p>
        </w:tc>
        <w:tc>
          <w:tcPr>
            <w:tcW w:type="dxa" w:w="2556"/>
            <w:shd w:fill="F8FAFC"/>
            <w:tcMar>
              <w:top w:w="60" w:type="dxa"/>
              <w:bottom w:w="60" w:type="dxa"/>
              <w:left w:w="80" w:type="dxa"/>
              <w:right w:w="80" w:type="dxa"/>
            </w:tcMar>
          </w:tcPr>
          <w:p>
            <w:pPr>
              <w:spacing w:before="0" w:after="0"/>
            </w:pPr>
            <w:r>
              <w:rPr>
                <w:rFonts w:ascii="Segoe UI" w:hAnsi="Segoe UI"/>
                <w:color w:val="0F172A"/>
                <w:sz w:val="17"/>
              </w:rPr>
              <w:t>Manual scripts (duplicate rows)</w:t>
            </w:r>
          </w:p>
        </w:tc>
        <w:tc>
          <w:tcPr>
            <w:tcW w:type="dxa" w:w="2556"/>
            <w:shd w:fill="F8FAFC"/>
            <w:tcMar>
              <w:top w:w="60" w:type="dxa"/>
              <w:bottom w:w="60" w:type="dxa"/>
              <w:left w:w="80" w:type="dxa"/>
              <w:right w:w="80" w:type="dxa"/>
            </w:tcMar>
          </w:tcPr>
          <w:p>
            <w:pPr>
              <w:spacing w:before="0" w:after="0"/>
            </w:pPr>
            <w:r>
              <w:rPr>
                <w:rFonts w:ascii="Segoe UI" w:hAnsi="Segoe UI"/>
                <w:b/>
                <w:color w:val="166534"/>
                <w:sz w:val="17"/>
              </w:rPr>
              <w:t>100% Idempotent replays</w:t>
            </w:r>
          </w:p>
        </w:tc>
        <w:tc>
          <w:tcPr>
            <w:tcW w:type="dxa" w:w="2556"/>
            <w:shd w:fill="F8FAFC"/>
            <w:tcMar>
              <w:top w:w="60" w:type="dxa"/>
              <w:bottom w:w="60" w:type="dxa"/>
              <w:left w:w="80" w:type="dxa"/>
              <w:right w:w="80" w:type="dxa"/>
            </w:tcMar>
          </w:tcPr>
          <w:p>
            <w:pPr>
              <w:spacing w:before="0" w:after="0"/>
            </w:pPr>
            <w:r>
              <w:rPr>
                <w:rFonts w:ascii="Segoe UI" w:hAnsi="Segoe UI"/>
                <w:color w:val="0F172A"/>
                <w:sz w:val="17"/>
              </w:rPr>
              <w:t>Zero duplicate row generation during partial backfilling runs</w:t>
            </w:r>
          </w:p>
        </w:tc>
      </w:tr>
    </w:tbl>
    <w:p>
      <w:pPr>
        <w:spacing w:after="40"/>
      </w:pPr>
    </w:p>
    <w:p>
      <w:pPr>
        <w:keepNext/>
        <w:spacing w:before="180" w:after="60"/>
      </w:pPr>
      <w:r>
        <w:rPr>
          <w:rFonts w:ascii="Segoe UI" w:hAnsi="Segoe UI"/>
          <w:b/>
          <w:color w:val="1E3A8A"/>
          <w:sz w:val="22"/>
        </w:rPr>
        <w:t>3. Implementation Highlights Across Core Dimensions</w:t>
      </w:r>
    </w:p>
    <w:p>
      <w:pPr>
        <w:keepNext/>
        <w:spacing w:before="120" w:after="40"/>
      </w:pPr>
      <w:r>
        <w:rPr>
          <w:rFonts w:ascii="Segoe UI" w:hAnsi="Segoe UI"/>
          <w:b/>
          <w:color w:val="0F172A"/>
          <w:sz w:val="19"/>
        </w:rPr>
        <w:t>D1 &amp; D4: Idempotent Replay &amp; Databricks Spark Pipeline Resilience</w:t>
      </w:r>
    </w:p>
    <w:p>
      <w:pPr>
        <w:spacing w:before="0" w:after="60" w:line="276" w:lineRule="auto"/>
      </w:pPr>
      <w:r>
        <w:rPr>
          <w:rFonts w:ascii="Segoe UI" w:hAnsi="Segoe UI"/>
          <w:color w:val="0F172A"/>
          <w:sz w:val="18"/>
        </w:rPr>
        <w:t>Vithi re-engineered the top-10 fragile Databricks pipelines. Replaced non-deterministic insert scripts with idempotent Delta Lake MERGE staging logic, configured exponential backoffs for transient API calls, and established safe partition-level backfill mechanics.</w:t>
      </w:r>
    </w:p>
    <w:p>
      <w:pPr>
        <w:keepNext/>
        <w:spacing w:before="120" w:after="40"/>
      </w:pPr>
      <w:r>
        <w:rPr>
          <w:rFonts w:ascii="Segoe UI" w:hAnsi="Segoe UI"/>
          <w:b/>
          <w:color w:val="0F172A"/>
          <w:sz w:val="19"/>
        </w:rPr>
        <w:t>D2: Automated Data Quality &amp; Schema Drift Quarantine</w:t>
      </w:r>
    </w:p>
    <w:p>
      <w:pPr>
        <w:spacing w:before="0" w:after="60" w:line="276" w:lineRule="auto"/>
      </w:pPr>
      <w:r>
        <w:rPr>
          <w:rFonts w:ascii="Segoe UI" w:hAnsi="Segoe UI"/>
          <w:color w:val="0F172A"/>
          <w:sz w:val="18"/>
        </w:rPr>
        <w:t>Integrated Great Expectations test suites directly at the Azure Data Lake Storage (ADLS) ingestion boundary. If an upstream database alters column types or null rates exceed 2%, the bad batch is automatically routed to an ADLS quarantine container, triggering an immediate P1 alert with exact column mutation details.</w:t>
      </w:r>
    </w:p>
    <w:p>
      <w:pPr>
        <w:keepNext/>
        <w:spacing w:before="120" w:after="40"/>
      </w:pPr>
      <w:r>
        <w:rPr>
          <w:rFonts w:ascii="Segoe UI" w:hAnsi="Segoe UI"/>
          <w:b/>
          <w:color w:val="0F172A"/>
          <w:sz w:val="19"/>
        </w:rPr>
        <w:t>D5: SRE-Grade Runbooks &amp; Incident Taxonomy</w:t>
      </w:r>
    </w:p>
    <w:p>
      <w:pPr>
        <w:spacing w:before="0" w:after="60" w:line="276" w:lineRule="auto"/>
      </w:pPr>
      <w:r>
        <w:rPr>
          <w:rFonts w:ascii="Segoe UI" w:hAnsi="Segoe UI"/>
          <w:color w:val="0F172A"/>
          <w:sz w:val="18"/>
        </w:rPr>
        <w:t>Authored verified operational runbooks for the 15 most frequent failure modes (e.g., Snowflake warehouse queuing, Kafka consumer lag, Databricks cluster memory exhaustion). Each alert now includes a 1-click runbook link enabling on-call engineers to resolve issues in under 15 minutes.</w:t>
      </w:r>
    </w:p>
    <w:tbl>
      <w:tblPr>
        <w:tblW w:type="auto" w:w="0"/>
        <w:jc w:val="center"/>
        <w:tblLook w:firstColumn="1" w:firstRow="1" w:lastColumn="0" w:lastRow="0" w:noHBand="0" w:noVBand="1" w:val="04A0"/>
      </w:tblPr>
      <w:tblGrid>
        <w:gridCol w:w="10224"/>
      </w:tblGrid>
      <w:tr>
        <w:tc>
          <w:tcPr>
            <w:tcW w:type="dxa" w:w="10224"/>
            <w:shd w:fill="F1F5F9"/>
            <w:tcMar>
              <w:top w:w="80" w:type="dxa"/>
              <w:bottom w:w="80" w:type="dxa"/>
              <w:left w:w="120" w:type="dxa"/>
              <w:right w:w="120" w:type="dxa"/>
            </w:tcMar>
            <w:tcBorders>
              <w:left w:val="single" w:sz="24" w:space="0" w:color="1E3A8A"/>
              <w:top w:val="none"/>
              <w:right w:val="none"/>
              <w:bottom w:val="none"/>
            </w:tcBorders>
          </w:tcPr>
          <w:p>
            <w:pPr>
              <w:spacing w:before="0" w:after="0"/>
            </w:pPr>
            <w:r>
              <w:rPr>
                <w:rFonts w:ascii="Segoe UI" w:hAnsi="Segoe UI"/>
                <w:b/>
                <w:color w:val="1E3A8A"/>
                <w:sz w:val="17"/>
              </w:rPr>
              <w:t>DIAGNOSTIC BENCHMARK GOVERNANCE</w:t>
              <w:br/>
            </w:r>
            <w:r>
              <w:rPr>
                <w:rFonts w:ascii="Segoe UI" w:hAnsi="Segoe UI"/>
                <w:i/>
                <w:color w:val="0F172A"/>
                <w:sz w:val="17"/>
              </w:rPr>
              <w:t>BENCHMARK CAVEAT: Operational baselines, MTTR reductions, and capacity recoveries reflect production results achieved in this specific sanitized enterprise engagement. Potential benefits in other environments depend upon baseline assessment findings and agreed technical scope.</w:t>
            </w:r>
          </w:p>
        </w:tc>
      </w:tr>
    </w:tbl>
    <w:p>
      <w:pPr>
        <w:spacing w:after="40"/>
      </w:pP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Segoe UI" w:hAnsi="Segoe UI"/>
        <w:color w:val="64748B"/>
        <w:sz w:val="15"/>
      </w:rPr>
      <w:t>Enterprise DataOps Transformation Case Study | Multi-Cloud &amp; Hybrid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Segoe UI" w:hAnsi="Segoe UI"/>
        <w:color w:val="64748B"/>
        <w:sz w:val="15"/>
      </w:rPr>
      <w:t>VITHI IT SOLUTIONS | DATAOPS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