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2563EB"/>
          <w:sz w:val="18"/>
        </w:rPr>
        <w:t>VITHI CONSULTING SALES STRATEGY &amp; COMPETITIVE PLAYBOOK</w:t>
      </w:r>
    </w:p>
    <w:p>
      <w:pPr>
        <w:spacing w:before="0" w:after="40"/>
      </w:pPr>
      <w:r>
        <w:rPr>
          <w:rFonts w:ascii="Segoe UI" w:hAnsi="Segoe UI"/>
          <w:b/>
          <w:color w:val="0F172A"/>
          <w:sz w:val="36"/>
        </w:rPr>
        <w:t>Observability Competitive Positioning &amp; Battlecard Guide</w:t>
      </w:r>
    </w:p>
    <w:p>
      <w:pPr>
        <w:spacing w:before="0" w:after="160"/>
      </w:pPr>
      <w:r>
        <w:rPr>
          <w:rFonts w:ascii="Segoe UI" w:hAnsi="Segoe UI"/>
          <w:i/>
          <w:color w:val="334155"/>
          <w:sz w:val="21"/>
        </w:rPr>
        <w:t>Winning Against Product Vendors, AWS Reviews, Big-4 SIs, and Internal SRE Teams — Sales Scripts, Objections &amp; Comparative Scoring</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CORE COMPETITIVE STRATEGY</w:t>
              <w:br/>
            </w:r>
            <w:r>
              <w:rPr>
                <w:rFonts w:ascii="Segoe UI" w:hAnsi="Segoe UI"/>
                <w:color w:val="0F172A"/>
                <w:sz w:val="18"/>
              </w:rPr>
              <w:t>EXECUTIVE POSITIONING MANDATE: Vithi does not compete as a software product, nor as a massive generalist SI. We win by being an agile, tool-agnostic diagnostic and implementation partner that bridges application reliability, data pipeline health, and FinOps cost optimization under senior-led engineering authority.</w:t>
            </w:r>
          </w:p>
        </w:tc>
      </w:tr>
    </w:tbl>
    <w:p>
      <w:pPr>
        <w:spacing w:after="60"/>
      </w:pPr>
    </w:p>
    <w:p>
      <w:pPr>
        <w:keepNext/>
        <w:spacing w:before="280" w:after="80"/>
      </w:pPr>
      <w:r>
        <w:rPr>
          <w:rFonts w:ascii="Segoe UI" w:hAnsi="Segoe UI"/>
          <w:b/>
          <w:color w:val="1E3A8A"/>
          <w:sz w:val="25"/>
        </w:rPr>
        <w:t>1. Executive Winnability Summary &amp; Market Opportunity</w:t>
      </w:r>
    </w:p>
    <w:p>
      <w:pPr>
        <w:spacing w:before="0" w:after="60" w:line="276" w:lineRule="auto"/>
      </w:pPr>
      <w:r>
        <w:rPr>
          <w:rFonts w:ascii="Segoe UI" w:hAnsi="Segoe UI"/>
          <w:color w:val="0F172A"/>
          <w:sz w:val="19"/>
        </w:rPr>
        <w:t>According to the consultative assessment, Vithi’s initial observability assets scored a baseline winnability of 6.0 / 10 against market alternatives. With the implementation of tool rationalization, data pipeline extensions, and agile 2-week evidence sprints, Vithi’s winnability jumps to 8.0 / 10 for enterprise cloud accounts: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87"/>
        <w:gridCol w:w="1987"/>
        <w:gridCol w:w="1987"/>
        <w:gridCol w:w="1987"/>
        <w:gridCol w:w="1987"/>
      </w:tblGrid>
      <w:tr>
        <w:trPr>
          <w:tblHeader/>
          <w:cantSplit/>
        </w:trPr>
        <w:tc>
          <w:tcPr>
            <w:tcW w:type="dxa" w:w="1987"/>
            <w:shd w:fill="1E3A8A"/>
            <w:tcMar>
              <w:top w:w="100" w:type="dxa"/>
              <w:bottom w:w="100" w:type="dxa"/>
              <w:left w:w="100" w:type="dxa"/>
              <w:right w:w="100" w:type="dxa"/>
            </w:tcMar>
          </w:tcPr>
          <w:p>
            <w:pPr>
              <w:spacing w:before="0" w:after="0"/>
              <w:jc w:val="left"/>
            </w:pPr>
            <w:r>
              <w:rPr>
                <w:rFonts w:ascii="Segoe UI" w:hAnsi="Segoe UI"/>
                <w:b/>
                <w:color w:val="FFFFFF"/>
                <w:sz w:val="17"/>
              </w:rPr>
              <w:t>Competitive Category</w:t>
            </w:r>
          </w:p>
        </w:tc>
        <w:tc>
          <w:tcPr>
            <w:tcW w:type="dxa" w:w="1987"/>
            <w:shd w:fill="1E3A8A"/>
            <w:tcMar>
              <w:top w:w="100" w:type="dxa"/>
              <w:bottom w:w="100" w:type="dxa"/>
              <w:left w:w="100" w:type="dxa"/>
              <w:right w:w="100" w:type="dxa"/>
            </w:tcMar>
          </w:tcPr>
          <w:p>
            <w:pPr>
              <w:spacing w:before="0" w:after="0"/>
              <w:jc w:val="left"/>
            </w:pPr>
            <w:r>
              <w:rPr>
                <w:rFonts w:ascii="Segoe UI" w:hAnsi="Segoe UI"/>
                <w:b/>
                <w:color w:val="FFFFFF"/>
                <w:sz w:val="17"/>
              </w:rPr>
              <w:t>Customer Perception</w:t>
            </w:r>
          </w:p>
        </w:tc>
        <w:tc>
          <w:tcPr>
            <w:tcW w:type="dxa" w:w="1987"/>
            <w:shd w:fill="1E3A8A"/>
            <w:tcMar>
              <w:top w:w="100" w:type="dxa"/>
              <w:bottom w:w="100" w:type="dxa"/>
              <w:left w:w="100" w:type="dxa"/>
              <w:right w:w="100" w:type="dxa"/>
            </w:tcMar>
          </w:tcPr>
          <w:p>
            <w:pPr>
              <w:spacing w:before="0" w:after="0"/>
              <w:jc w:val="left"/>
            </w:pPr>
            <w:r>
              <w:rPr>
                <w:rFonts w:ascii="Segoe UI" w:hAnsi="Segoe UI"/>
                <w:b/>
                <w:color w:val="FFFFFF"/>
                <w:sz w:val="17"/>
              </w:rPr>
              <w:t>Vithi Baseline</w:t>
            </w:r>
          </w:p>
        </w:tc>
        <w:tc>
          <w:tcPr>
            <w:tcW w:type="dxa" w:w="1987"/>
            <w:shd w:fill="1E3A8A"/>
            <w:tcMar>
              <w:top w:w="100" w:type="dxa"/>
              <w:bottom w:w="100" w:type="dxa"/>
              <w:left w:w="100" w:type="dxa"/>
              <w:right w:w="100" w:type="dxa"/>
            </w:tcMar>
          </w:tcPr>
          <w:p>
            <w:pPr>
              <w:spacing w:before="0" w:after="0"/>
              <w:jc w:val="left"/>
            </w:pPr>
            <w:r>
              <w:rPr>
                <w:rFonts w:ascii="Segoe UI" w:hAnsi="Segoe UI"/>
                <w:b/>
                <w:color w:val="FFFFFF"/>
                <w:sz w:val="17"/>
              </w:rPr>
              <w:t>Vithi Target</w:t>
            </w:r>
          </w:p>
        </w:tc>
        <w:tc>
          <w:tcPr>
            <w:tcW w:type="dxa" w:w="1987"/>
            <w:shd w:fill="1E3A8A"/>
            <w:tcMar>
              <w:top w:w="100" w:type="dxa"/>
              <w:bottom w:w="100" w:type="dxa"/>
              <w:left w:w="100" w:type="dxa"/>
              <w:right w:w="100" w:type="dxa"/>
            </w:tcMar>
          </w:tcPr>
          <w:p>
            <w:pPr>
              <w:spacing w:before="0" w:after="0"/>
              <w:jc w:val="left"/>
            </w:pPr>
            <w:r>
              <w:rPr>
                <w:rFonts w:ascii="Segoe UI" w:hAnsi="Segoe UI"/>
                <w:b/>
                <w:color w:val="FFFFFF"/>
                <w:sz w:val="17"/>
              </w:rPr>
              <w:t>Strategic Win Formula</w:t>
            </w:r>
          </w:p>
        </w:tc>
      </w:tr>
      <w:tr>
        <w:trPr>
          <w:cantSplit/>
        </w:trPr>
        <w:tc>
          <w:tcPr>
            <w:tcW w:type="dxa" w:w="1987"/>
            <w:shd w:fill="FFFFFF"/>
            <w:tcMar>
              <w:top w:w="80" w:type="dxa"/>
              <w:bottom w:w="80" w:type="dxa"/>
              <w:left w:w="100" w:type="dxa"/>
              <w:right w:w="100" w:type="dxa"/>
            </w:tcMar>
          </w:tcPr>
          <w:p>
            <w:pPr>
              <w:spacing w:before="0" w:after="0"/>
            </w:pPr>
            <w:r>
              <w:rPr>
                <w:rFonts w:ascii="Segoe UI" w:hAnsi="Segoe UI"/>
                <w:b/>
                <w:color w:val="0F172A"/>
                <w:sz w:val="17"/>
              </w:rPr>
              <w:t>1. Observability Product Vendors</w:t>
              <w:br/>
              <w:t>(Datadog, Dynatrace, Splunk)</w:t>
            </w:r>
          </w:p>
        </w:tc>
        <w:tc>
          <w:tcPr>
            <w:tcW w:type="dxa" w:w="1987"/>
            <w:shd w:fill="FFFFFF"/>
            <w:tcMar>
              <w:top w:w="80" w:type="dxa"/>
              <w:bottom w:w="80" w:type="dxa"/>
              <w:left w:w="100" w:type="dxa"/>
              <w:right w:w="100" w:type="dxa"/>
            </w:tcMar>
          </w:tcPr>
          <w:p>
            <w:pPr>
              <w:spacing w:before="0" w:after="0"/>
            </w:pPr>
            <w:r>
              <w:rPr>
                <w:rFonts w:ascii="Segoe UI" w:hAnsi="Segoe UI"/>
                <w:color w:val="0F172A"/>
                <w:sz w:val="17"/>
              </w:rPr>
              <w:t>Strong software platforms, APM agents, fancy UI, AI-assisted RCA.</w:t>
            </w:r>
          </w:p>
        </w:tc>
        <w:tc>
          <w:tcPr>
            <w:tcW w:type="dxa" w:w="1987"/>
            <w:shd w:fill="FFFFFF"/>
            <w:tcMar>
              <w:top w:w="80" w:type="dxa"/>
              <w:bottom w:w="80" w:type="dxa"/>
              <w:left w:w="100" w:type="dxa"/>
              <w:right w:w="100" w:type="dxa"/>
            </w:tcMar>
          </w:tcPr>
          <w:p>
            <w:pPr>
              <w:spacing w:before="0" w:after="0"/>
              <w:jc w:val="center"/>
            </w:pPr>
            <w:r>
              <w:rPr>
                <w:rFonts w:ascii="Segoe UI" w:hAnsi="Segoe UI"/>
                <w:b/>
                <w:color w:val="0F172A"/>
                <w:sz w:val="17"/>
              </w:rPr>
              <w:t>5.0 / 10</w:t>
            </w:r>
          </w:p>
        </w:tc>
        <w:tc>
          <w:tcPr>
            <w:tcW w:type="dxa" w:w="1987"/>
            <w:shd w:fill="FFFFFF"/>
            <w:tcMar>
              <w:top w:w="80" w:type="dxa"/>
              <w:bottom w:w="80" w:type="dxa"/>
              <w:left w:w="100" w:type="dxa"/>
              <w:right w:w="100" w:type="dxa"/>
            </w:tcMar>
          </w:tcPr>
          <w:p>
            <w:pPr>
              <w:spacing w:before="0" w:after="0"/>
              <w:jc w:val="center"/>
            </w:pPr>
            <w:r>
              <w:rPr>
                <w:rFonts w:ascii="Segoe UI" w:hAnsi="Segoe UI"/>
                <w:b/>
                <w:color w:val="166534"/>
                <w:sz w:val="17"/>
              </w:rPr>
              <w:t>7.0 / 10</w:t>
            </w:r>
          </w:p>
        </w:tc>
        <w:tc>
          <w:tcPr>
            <w:tcW w:type="dxa" w:w="1987"/>
            <w:shd w:fill="FFFFFF"/>
            <w:tcMar>
              <w:top w:w="80" w:type="dxa"/>
              <w:bottom w:w="80" w:type="dxa"/>
              <w:left w:w="100" w:type="dxa"/>
              <w:right w:w="100" w:type="dxa"/>
            </w:tcMar>
          </w:tcPr>
          <w:p>
            <w:pPr>
              <w:spacing w:before="0" w:after="0"/>
            </w:pPr>
            <w:r>
              <w:rPr>
                <w:rFonts w:ascii="Segoe UI" w:hAnsi="Segoe UI"/>
                <w:color w:val="0F172A"/>
                <w:sz w:val="17"/>
              </w:rPr>
              <w:t>Do not compete as a tool. Position as an unbiased diagnostic partner auditing existing tools to cut SaaS bill waste by 20%+.</w:t>
            </w:r>
          </w:p>
        </w:tc>
      </w:tr>
      <w:tr>
        <w:trPr>
          <w:cantSplit/>
        </w:trPr>
        <w:tc>
          <w:tcPr>
            <w:tcW w:type="dxa" w:w="1987"/>
            <w:shd w:fill="F8FAFC"/>
            <w:tcMar>
              <w:top w:w="80" w:type="dxa"/>
              <w:bottom w:w="80" w:type="dxa"/>
              <w:left w:w="100" w:type="dxa"/>
              <w:right w:w="100" w:type="dxa"/>
            </w:tcMar>
          </w:tcPr>
          <w:p>
            <w:pPr>
              <w:spacing w:before="0" w:after="0"/>
            </w:pPr>
            <w:r>
              <w:rPr>
                <w:rFonts w:ascii="Segoe UI" w:hAnsi="Segoe UI"/>
                <w:b/>
                <w:color w:val="0F172A"/>
                <w:sz w:val="17"/>
              </w:rPr>
              <w:t>2. AWS / Cloud-Native Review</w:t>
              <w:br/>
              <w:t>(AWS Well-Architected, ProServe)</w:t>
            </w:r>
          </w:p>
        </w:tc>
        <w:tc>
          <w:tcPr>
            <w:tcW w:type="dxa" w:w="1987"/>
            <w:shd w:fill="F8FAFC"/>
            <w:tcMar>
              <w:top w:w="80" w:type="dxa"/>
              <w:bottom w:w="80" w:type="dxa"/>
              <w:left w:w="100" w:type="dxa"/>
              <w:right w:w="100" w:type="dxa"/>
            </w:tcMar>
          </w:tcPr>
          <w:p>
            <w:pPr>
              <w:spacing w:before="0" w:after="0"/>
            </w:pPr>
            <w:r>
              <w:rPr>
                <w:rFonts w:ascii="Segoe UI" w:hAnsi="Segoe UI"/>
                <w:color w:val="0F172A"/>
                <w:sz w:val="17"/>
              </w:rPr>
              <w:t>Trusted cloud authority, native CloudWatch, operational excellence.</w:t>
            </w:r>
          </w:p>
        </w:tc>
        <w:tc>
          <w:tcPr>
            <w:tcW w:type="dxa" w:w="1987"/>
            <w:shd w:fill="F8FAFC"/>
            <w:tcMar>
              <w:top w:w="80" w:type="dxa"/>
              <w:bottom w:w="80" w:type="dxa"/>
              <w:left w:w="100" w:type="dxa"/>
              <w:right w:w="100" w:type="dxa"/>
            </w:tcMar>
          </w:tcPr>
          <w:p>
            <w:pPr>
              <w:spacing w:before="0" w:after="0"/>
              <w:jc w:val="center"/>
            </w:pPr>
            <w:r>
              <w:rPr>
                <w:rFonts w:ascii="Segoe UI" w:hAnsi="Segoe UI"/>
                <w:b/>
                <w:color w:val="0F172A"/>
                <w:sz w:val="17"/>
              </w:rPr>
              <w:t>7.0 / 10</w:t>
            </w:r>
          </w:p>
        </w:tc>
        <w:tc>
          <w:tcPr>
            <w:tcW w:type="dxa" w:w="1987"/>
            <w:shd w:fill="F8FAFC"/>
            <w:tcMar>
              <w:top w:w="80" w:type="dxa"/>
              <w:bottom w:w="80" w:type="dxa"/>
              <w:left w:w="100" w:type="dxa"/>
              <w:right w:w="100" w:type="dxa"/>
            </w:tcMar>
          </w:tcPr>
          <w:p>
            <w:pPr>
              <w:spacing w:before="0" w:after="0"/>
              <w:jc w:val="center"/>
            </w:pPr>
            <w:r>
              <w:rPr>
                <w:rFonts w:ascii="Segoe UI" w:hAnsi="Segoe UI"/>
                <w:b/>
                <w:color w:val="166534"/>
                <w:sz w:val="17"/>
              </w:rPr>
              <w:t>8.5 / 10</w:t>
            </w:r>
          </w:p>
        </w:tc>
        <w:tc>
          <w:tcPr>
            <w:tcW w:type="dxa" w:w="1987"/>
            <w:shd w:fill="F8FAFC"/>
            <w:tcMar>
              <w:top w:w="80" w:type="dxa"/>
              <w:bottom w:w="80" w:type="dxa"/>
              <w:left w:w="100" w:type="dxa"/>
              <w:right w:w="100" w:type="dxa"/>
            </w:tcMar>
          </w:tcPr>
          <w:p>
            <w:pPr>
              <w:spacing w:before="0" w:after="0"/>
            </w:pPr>
            <w:r>
              <w:rPr>
                <w:rFonts w:ascii="Segoe UI" w:hAnsi="Segoe UI"/>
                <w:color w:val="0F172A"/>
                <w:sz w:val="17"/>
              </w:rPr>
              <w:t>Align 100% with AWS Well-Architected pillars, but go deeper into Kafka queues, data pipelines, and turnkey 90-day sprints.</w:t>
            </w:r>
          </w:p>
        </w:tc>
      </w:tr>
      <w:tr>
        <w:trPr>
          <w:cantSplit/>
        </w:trPr>
        <w:tc>
          <w:tcPr>
            <w:tcW w:type="dxa" w:w="1987"/>
            <w:shd w:fill="FFFFFF"/>
            <w:tcMar>
              <w:top w:w="80" w:type="dxa"/>
              <w:bottom w:w="80" w:type="dxa"/>
              <w:left w:w="100" w:type="dxa"/>
              <w:right w:w="100" w:type="dxa"/>
            </w:tcMar>
          </w:tcPr>
          <w:p>
            <w:pPr>
              <w:spacing w:before="0" w:after="0"/>
            </w:pPr>
            <w:r>
              <w:rPr>
                <w:rFonts w:ascii="Segoe UI" w:hAnsi="Segoe UI"/>
                <w:b/>
                <w:color w:val="0F172A"/>
                <w:sz w:val="17"/>
              </w:rPr>
              <w:t>3. Big 4 / Tier-1 Global SIs</w:t>
              <w:br/>
              <w:t>(Deloitte, Accenture, Wipro)</w:t>
            </w:r>
          </w:p>
        </w:tc>
        <w:tc>
          <w:tcPr>
            <w:tcW w:type="dxa" w:w="1987"/>
            <w:shd w:fill="FFFFFF"/>
            <w:tcMar>
              <w:top w:w="80" w:type="dxa"/>
              <w:bottom w:w="80" w:type="dxa"/>
              <w:left w:w="100" w:type="dxa"/>
              <w:right w:w="100" w:type="dxa"/>
            </w:tcMar>
          </w:tcPr>
          <w:p>
            <w:pPr>
              <w:spacing w:before="0" w:after="0"/>
            </w:pPr>
            <w:r>
              <w:rPr>
                <w:rFonts w:ascii="Segoe UI" w:hAnsi="Segoe UI"/>
                <w:color w:val="0F172A"/>
                <w:sz w:val="17"/>
              </w:rPr>
              <w:t>Enterprise operating model, board credibility, global delivery scale.</w:t>
            </w:r>
          </w:p>
        </w:tc>
        <w:tc>
          <w:tcPr>
            <w:tcW w:type="dxa" w:w="1987"/>
            <w:shd w:fill="FFFFFF"/>
            <w:tcMar>
              <w:top w:w="80" w:type="dxa"/>
              <w:bottom w:w="80" w:type="dxa"/>
              <w:left w:w="100" w:type="dxa"/>
              <w:right w:w="100" w:type="dxa"/>
            </w:tcMar>
          </w:tcPr>
          <w:p>
            <w:pPr>
              <w:spacing w:before="0" w:after="0"/>
              <w:jc w:val="center"/>
            </w:pPr>
            <w:r>
              <w:rPr>
                <w:rFonts w:ascii="Segoe UI" w:hAnsi="Segoe UI"/>
                <w:b/>
                <w:color w:val="0F172A"/>
                <w:sz w:val="17"/>
              </w:rPr>
              <w:t>5.5 / 10</w:t>
            </w:r>
          </w:p>
        </w:tc>
        <w:tc>
          <w:tcPr>
            <w:tcW w:type="dxa" w:w="1987"/>
            <w:shd w:fill="FFFFFF"/>
            <w:tcMar>
              <w:top w:w="80" w:type="dxa"/>
              <w:bottom w:w="80" w:type="dxa"/>
              <w:left w:w="100" w:type="dxa"/>
              <w:right w:w="100" w:type="dxa"/>
            </w:tcMar>
          </w:tcPr>
          <w:p>
            <w:pPr>
              <w:spacing w:before="0" w:after="0"/>
              <w:jc w:val="center"/>
            </w:pPr>
            <w:r>
              <w:rPr>
                <w:rFonts w:ascii="Segoe UI" w:hAnsi="Segoe UI"/>
                <w:b/>
                <w:color w:val="166534"/>
                <w:sz w:val="17"/>
              </w:rPr>
              <w:t>7.0 / 10</w:t>
            </w:r>
          </w:p>
        </w:tc>
        <w:tc>
          <w:tcPr>
            <w:tcW w:type="dxa" w:w="1987"/>
            <w:shd w:fill="FFFFFF"/>
            <w:tcMar>
              <w:top w:w="80" w:type="dxa"/>
              <w:bottom w:w="80" w:type="dxa"/>
              <w:left w:w="100" w:type="dxa"/>
              <w:right w:w="100" w:type="dxa"/>
            </w:tcMar>
          </w:tcPr>
          <w:p>
            <w:pPr>
              <w:spacing w:before="0" w:after="0"/>
            </w:pPr>
            <w:r>
              <w:rPr>
                <w:rFonts w:ascii="Segoe UI" w:hAnsi="Segoe UI"/>
                <w:color w:val="0F172A"/>
                <w:sz w:val="17"/>
              </w:rPr>
              <w:t>Win on velocity and cost. Deliver a focused 2-week evidence sprint with Principal Architects, avoiding bloated 6-month junior programs.</w:t>
            </w:r>
          </w:p>
        </w:tc>
      </w:tr>
      <w:tr>
        <w:trPr>
          <w:cantSplit/>
        </w:trPr>
        <w:tc>
          <w:tcPr>
            <w:tcW w:type="dxa" w:w="1987"/>
            <w:shd w:fill="F8FAFC"/>
            <w:tcMar>
              <w:top w:w="80" w:type="dxa"/>
              <w:bottom w:w="80" w:type="dxa"/>
              <w:left w:w="100" w:type="dxa"/>
              <w:right w:w="100" w:type="dxa"/>
            </w:tcMar>
          </w:tcPr>
          <w:p>
            <w:pPr>
              <w:spacing w:before="0" w:after="0"/>
            </w:pPr>
            <w:r>
              <w:rPr>
                <w:rFonts w:ascii="Segoe UI" w:hAnsi="Segoe UI"/>
                <w:b/>
                <w:color w:val="0F172A"/>
                <w:sz w:val="17"/>
              </w:rPr>
              <w:t>4. Internal SRE / Platform Team</w:t>
              <w:br/>
              <w:t>('We can do this ourselves')</w:t>
            </w:r>
          </w:p>
        </w:tc>
        <w:tc>
          <w:tcPr>
            <w:tcW w:type="dxa" w:w="1987"/>
            <w:shd w:fill="F8FAFC"/>
            <w:tcMar>
              <w:top w:w="80" w:type="dxa"/>
              <w:bottom w:w="80" w:type="dxa"/>
              <w:left w:w="100" w:type="dxa"/>
              <w:right w:w="100" w:type="dxa"/>
            </w:tcMar>
          </w:tcPr>
          <w:p>
            <w:pPr>
              <w:spacing w:before="0" w:after="0"/>
            </w:pPr>
            <w:r>
              <w:rPr>
                <w:rFonts w:ascii="Segoe UI" w:hAnsi="Segoe UI"/>
                <w:color w:val="0F172A"/>
                <w:sz w:val="17"/>
              </w:rPr>
              <w:t>Knows tools and architecture; questions need for outside review.</w:t>
            </w:r>
          </w:p>
        </w:tc>
        <w:tc>
          <w:tcPr>
            <w:tcW w:type="dxa" w:w="1987"/>
            <w:shd w:fill="F8FAFC"/>
            <w:tcMar>
              <w:top w:w="80" w:type="dxa"/>
              <w:bottom w:w="80" w:type="dxa"/>
              <w:left w:w="100" w:type="dxa"/>
              <w:right w:w="100" w:type="dxa"/>
            </w:tcMar>
          </w:tcPr>
          <w:p>
            <w:pPr>
              <w:spacing w:before="0" w:after="0"/>
              <w:jc w:val="center"/>
            </w:pPr>
            <w:r>
              <w:rPr>
                <w:rFonts w:ascii="Segoe UI" w:hAnsi="Segoe UI"/>
                <w:b/>
                <w:color w:val="0F172A"/>
                <w:sz w:val="17"/>
              </w:rPr>
              <w:t>6.0 / 10</w:t>
            </w:r>
          </w:p>
        </w:tc>
        <w:tc>
          <w:tcPr>
            <w:tcW w:type="dxa" w:w="1987"/>
            <w:shd w:fill="F8FAFC"/>
            <w:tcMar>
              <w:top w:w="80" w:type="dxa"/>
              <w:bottom w:w="80" w:type="dxa"/>
              <w:left w:w="100" w:type="dxa"/>
              <w:right w:w="100" w:type="dxa"/>
            </w:tcMar>
          </w:tcPr>
          <w:p>
            <w:pPr>
              <w:spacing w:before="0" w:after="0"/>
              <w:jc w:val="center"/>
            </w:pPr>
            <w:r>
              <w:rPr>
                <w:rFonts w:ascii="Segoe UI" w:hAnsi="Segoe UI"/>
                <w:b/>
                <w:color w:val="166534"/>
                <w:sz w:val="17"/>
              </w:rPr>
              <w:t>8.0 / 10</w:t>
            </w:r>
          </w:p>
        </w:tc>
        <w:tc>
          <w:tcPr>
            <w:tcW w:type="dxa" w:w="1987"/>
            <w:shd w:fill="F8FAFC"/>
            <w:tcMar>
              <w:top w:w="80" w:type="dxa"/>
              <w:bottom w:w="80" w:type="dxa"/>
              <w:left w:w="100" w:type="dxa"/>
              <w:right w:w="100" w:type="dxa"/>
            </w:tcMar>
          </w:tcPr>
          <w:p>
            <w:pPr>
              <w:spacing w:before="0" w:after="0"/>
            </w:pPr>
            <w:r>
              <w:rPr>
                <w:rFonts w:ascii="Segoe UI" w:hAnsi="Segoe UI"/>
                <w:color w:val="0F172A"/>
                <w:sz w:val="17"/>
              </w:rPr>
              <w:t>Position as an ally, not an auditor. Provide independent evidence that helps SRE leads mandate developer accountability and secure budget.</w:t>
            </w:r>
          </w:p>
        </w:tc>
      </w:tr>
    </w:tbl>
    <w:p>
      <w:pPr>
        <w:keepNext/>
        <w:spacing w:before="280" w:after="80"/>
      </w:pPr>
      <w:r>
        <w:rPr>
          <w:rFonts w:ascii="Segoe UI" w:hAnsi="Segoe UI"/>
          <w:b/>
          <w:color w:val="1E3A8A"/>
          <w:sz w:val="25"/>
        </w:rPr>
        <w:t>2. Master Comparative Scorecard Across 12 Buying Criteria</w:t>
      </w:r>
    </w:p>
    <w:p>
      <w:pPr>
        <w:spacing w:before="0" w:after="60" w:line="276" w:lineRule="auto"/>
      </w:pPr>
      <w:r>
        <w:rPr>
          <w:rFonts w:ascii="Segoe UI" w:hAnsi="Segoe UI"/>
          <w:color w:val="0F172A"/>
          <w:sz w:val="19"/>
        </w:rPr>
        <w:t>Detailed multi-dimensional scoring comparing Vithi against all 4 customer alternatives across the 12 core buying criteria (Section 3.5 of the Assessment Report):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419"/>
        <w:gridCol w:w="1419"/>
        <w:gridCol w:w="1419"/>
        <w:gridCol w:w="1419"/>
        <w:gridCol w:w="1419"/>
        <w:gridCol w:w="1419"/>
        <w:gridCol w:w="1419"/>
      </w:tblGrid>
      <w:tr>
        <w:trPr>
          <w:tblHeader/>
          <w:cantSplit/>
        </w:trPr>
        <w:tc>
          <w:tcPr>
            <w:tcW w:type="dxa" w:w="1419"/>
            <w:shd w:fill="334155"/>
            <w:tcMar>
              <w:top w:w="100" w:type="dxa"/>
              <w:bottom w:w="100" w:type="dxa"/>
              <w:left w:w="100" w:type="dxa"/>
              <w:right w:w="100" w:type="dxa"/>
            </w:tcMar>
          </w:tcPr>
          <w:p>
            <w:pPr>
              <w:spacing w:before="0" w:after="0"/>
              <w:jc w:val="left"/>
            </w:pPr>
            <w:r>
              <w:rPr>
                <w:rFonts w:ascii="Segoe UI" w:hAnsi="Segoe UI"/>
                <w:b/>
                <w:color w:val="FFFFFF"/>
                <w:sz w:val="17"/>
              </w:rPr>
              <w:t>Customer Buying Criterion</w:t>
            </w:r>
          </w:p>
        </w:tc>
        <w:tc>
          <w:tcPr>
            <w:tcW w:type="dxa" w:w="1419"/>
            <w:shd w:fill="334155"/>
            <w:tcMar>
              <w:top w:w="100" w:type="dxa"/>
              <w:bottom w:w="100" w:type="dxa"/>
              <w:left w:w="100" w:type="dxa"/>
              <w:right w:w="100" w:type="dxa"/>
            </w:tcMar>
          </w:tcPr>
          <w:p>
            <w:pPr>
              <w:spacing w:before="0" w:after="0"/>
              <w:jc w:val="left"/>
            </w:pPr>
            <w:r>
              <w:rPr>
                <w:rFonts w:ascii="Segoe UI" w:hAnsi="Segoe UI"/>
                <w:b/>
                <w:color w:val="FFFFFF"/>
                <w:sz w:val="17"/>
              </w:rPr>
              <w:t>Product Vendors</w:t>
            </w:r>
          </w:p>
        </w:tc>
        <w:tc>
          <w:tcPr>
            <w:tcW w:type="dxa" w:w="1419"/>
            <w:shd w:fill="334155"/>
            <w:tcMar>
              <w:top w:w="100" w:type="dxa"/>
              <w:bottom w:w="100" w:type="dxa"/>
              <w:left w:w="100" w:type="dxa"/>
              <w:right w:w="100" w:type="dxa"/>
            </w:tcMar>
          </w:tcPr>
          <w:p>
            <w:pPr>
              <w:spacing w:before="0" w:after="0"/>
              <w:jc w:val="left"/>
            </w:pPr>
            <w:r>
              <w:rPr>
                <w:rFonts w:ascii="Segoe UI" w:hAnsi="Segoe UI"/>
                <w:b/>
                <w:color w:val="FFFFFF"/>
                <w:sz w:val="17"/>
              </w:rPr>
              <w:t>AWS / Cloud Native</w:t>
            </w:r>
          </w:p>
        </w:tc>
        <w:tc>
          <w:tcPr>
            <w:tcW w:type="dxa" w:w="1419"/>
            <w:shd w:fill="334155"/>
            <w:tcMar>
              <w:top w:w="100" w:type="dxa"/>
              <w:bottom w:w="100" w:type="dxa"/>
              <w:left w:w="100" w:type="dxa"/>
              <w:right w:w="100" w:type="dxa"/>
            </w:tcMar>
          </w:tcPr>
          <w:p>
            <w:pPr>
              <w:spacing w:before="0" w:after="0"/>
              <w:jc w:val="left"/>
            </w:pPr>
            <w:r>
              <w:rPr>
                <w:rFonts w:ascii="Segoe UI" w:hAnsi="Segoe UI"/>
                <w:b/>
                <w:color w:val="FFFFFF"/>
                <w:sz w:val="17"/>
              </w:rPr>
              <w:t>Big 4 / Tier-1 SI</w:t>
            </w:r>
          </w:p>
        </w:tc>
        <w:tc>
          <w:tcPr>
            <w:tcW w:type="dxa" w:w="1419"/>
            <w:shd w:fill="334155"/>
            <w:tcMar>
              <w:top w:w="100" w:type="dxa"/>
              <w:bottom w:w="100" w:type="dxa"/>
              <w:left w:w="100" w:type="dxa"/>
              <w:right w:w="100" w:type="dxa"/>
            </w:tcMar>
          </w:tcPr>
          <w:p>
            <w:pPr>
              <w:spacing w:before="0" w:after="0"/>
              <w:jc w:val="left"/>
            </w:pPr>
            <w:r>
              <w:rPr>
                <w:rFonts w:ascii="Segoe UI" w:hAnsi="Segoe UI"/>
                <w:b/>
                <w:color w:val="FFFFFF"/>
                <w:sz w:val="17"/>
              </w:rPr>
              <w:t>Internal SRE Team</w:t>
            </w:r>
          </w:p>
        </w:tc>
        <w:tc>
          <w:tcPr>
            <w:tcW w:type="dxa" w:w="1419"/>
            <w:shd w:fill="334155"/>
            <w:tcMar>
              <w:top w:w="100" w:type="dxa"/>
              <w:bottom w:w="100" w:type="dxa"/>
              <w:left w:w="100" w:type="dxa"/>
              <w:right w:w="100" w:type="dxa"/>
            </w:tcMar>
          </w:tcPr>
          <w:p>
            <w:pPr>
              <w:spacing w:before="0" w:after="0"/>
              <w:jc w:val="left"/>
            </w:pPr>
            <w:r>
              <w:rPr>
                <w:rFonts w:ascii="Segoe UI" w:hAnsi="Segoe UI"/>
                <w:b/>
                <w:color w:val="FFFFFF"/>
                <w:sz w:val="17"/>
              </w:rPr>
              <w:t>Vithi Current</w:t>
            </w:r>
          </w:p>
        </w:tc>
        <w:tc>
          <w:tcPr>
            <w:tcW w:type="dxa" w:w="1419"/>
            <w:shd w:fill="334155"/>
            <w:tcMar>
              <w:top w:w="100" w:type="dxa"/>
              <w:bottom w:w="100" w:type="dxa"/>
              <w:left w:w="100" w:type="dxa"/>
              <w:right w:w="100" w:type="dxa"/>
            </w:tcMar>
          </w:tcPr>
          <w:p>
            <w:pPr>
              <w:spacing w:before="0" w:after="0"/>
              <w:jc w:val="left"/>
            </w:pPr>
            <w:r>
              <w:rPr>
                <w:rFonts w:ascii="Segoe UI" w:hAnsi="Segoe UI"/>
                <w:b/>
                <w:color w:val="FFFFFF"/>
                <w:sz w:val="17"/>
              </w:rPr>
              <w:t>Vithi After Impr.</w:t>
            </w:r>
          </w:p>
        </w:tc>
      </w:tr>
      <w:tr>
        <w:trPr>
          <w:cantSplit/>
        </w:trPr>
        <w:tc>
          <w:tcPr>
            <w:tcW w:type="dxa" w:w="1419"/>
            <w:shd w:fill="FFFFFF"/>
            <w:tcMar>
              <w:top w:w="60" w:type="dxa"/>
              <w:bottom w:w="60" w:type="dxa"/>
              <w:left w:w="80" w:type="dxa"/>
              <w:right w:w="80" w:type="dxa"/>
            </w:tcMar>
          </w:tcPr>
          <w:p>
            <w:pPr>
              <w:spacing w:before="0" w:after="0"/>
            </w:pPr>
            <w:r>
              <w:rPr>
                <w:rFonts w:ascii="Segoe UI" w:hAnsi="Segoe UI"/>
                <w:b/>
                <w:color w:val="0F172A"/>
                <w:sz w:val="17"/>
              </w:rPr>
              <w:t>1. Brand Credibility</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8.0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9.0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10.0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7.0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4.0</w:t>
            </w:r>
          </w:p>
        </w:tc>
        <w:tc>
          <w:tcPr>
            <w:tcW w:type="dxa" w:w="1419"/>
            <w:shd w:fill="FFFFFF"/>
            <w:tcMar>
              <w:top w:w="60" w:type="dxa"/>
              <w:bottom w:w="60" w:type="dxa"/>
              <w:left w:w="80" w:type="dxa"/>
              <w:right w:w="80" w:type="dxa"/>
            </w:tcMar>
          </w:tcPr>
          <w:p>
            <w:pPr>
              <w:spacing w:before="0" w:after="0"/>
              <w:jc w:val="center"/>
            </w:pPr>
            <w:r>
              <w:rPr>
                <w:rFonts w:ascii="Segoe UI" w:hAnsi="Segoe UI"/>
                <w:b/>
                <w:color w:val="166534"/>
                <w:sz w:val="17"/>
              </w:rPr>
              <w:t>5.0</w:t>
            </w:r>
          </w:p>
        </w:tc>
      </w:tr>
      <w:tr>
        <w:trPr>
          <w:cantSplit/>
        </w:trPr>
        <w:tc>
          <w:tcPr>
            <w:tcW w:type="dxa" w:w="1419"/>
            <w:shd w:fill="F8FAFC"/>
            <w:tcMar>
              <w:top w:w="60" w:type="dxa"/>
              <w:bottom w:w="60" w:type="dxa"/>
              <w:left w:w="80" w:type="dxa"/>
              <w:right w:w="80" w:type="dxa"/>
            </w:tcMar>
          </w:tcPr>
          <w:p>
            <w:pPr>
              <w:spacing w:before="0" w:after="0"/>
            </w:pPr>
            <w:r>
              <w:rPr>
                <w:rFonts w:ascii="Segoe UI" w:hAnsi="Segoe UI"/>
                <w:b/>
                <w:color w:val="0F172A"/>
                <w:sz w:val="17"/>
              </w:rPr>
              <w:t>2. Platform / Demo Strength</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10.0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7.0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7.0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6.0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4.0</w:t>
            </w:r>
          </w:p>
        </w:tc>
        <w:tc>
          <w:tcPr>
            <w:tcW w:type="dxa" w:w="1419"/>
            <w:shd w:fill="F8FAFC"/>
            <w:tcMar>
              <w:top w:w="60" w:type="dxa"/>
              <w:bottom w:w="60" w:type="dxa"/>
              <w:left w:w="80" w:type="dxa"/>
              <w:right w:w="80" w:type="dxa"/>
            </w:tcMar>
          </w:tcPr>
          <w:p>
            <w:pPr>
              <w:spacing w:before="0" w:after="0"/>
              <w:jc w:val="center"/>
            </w:pPr>
            <w:r>
              <w:rPr>
                <w:rFonts w:ascii="Segoe UI" w:hAnsi="Segoe UI"/>
                <w:b/>
                <w:color w:val="166534"/>
                <w:sz w:val="17"/>
              </w:rPr>
              <w:t>5.5</w:t>
            </w:r>
          </w:p>
        </w:tc>
      </w:tr>
      <w:tr>
        <w:trPr>
          <w:cantSplit/>
        </w:trPr>
        <w:tc>
          <w:tcPr>
            <w:tcW w:type="dxa" w:w="1419"/>
            <w:shd w:fill="FFFFFF"/>
            <w:tcMar>
              <w:top w:w="60" w:type="dxa"/>
              <w:bottom w:w="60" w:type="dxa"/>
              <w:left w:w="80" w:type="dxa"/>
              <w:right w:w="80" w:type="dxa"/>
            </w:tcMar>
          </w:tcPr>
          <w:p>
            <w:pPr>
              <w:spacing w:before="0" w:after="0"/>
            </w:pPr>
            <w:r>
              <w:rPr>
                <w:rFonts w:ascii="Segoe UI" w:hAnsi="Segoe UI"/>
                <w:b/>
                <w:color w:val="0F172A"/>
                <w:sz w:val="17"/>
              </w:rPr>
              <w:t>3. AWS Observability Specificity</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7.0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9.0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7.0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7.0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7.5</w:t>
            </w:r>
          </w:p>
        </w:tc>
        <w:tc>
          <w:tcPr>
            <w:tcW w:type="dxa" w:w="1419"/>
            <w:shd w:fill="FFFFFF"/>
            <w:tcMar>
              <w:top w:w="60" w:type="dxa"/>
              <w:bottom w:w="60" w:type="dxa"/>
              <w:left w:w="80" w:type="dxa"/>
              <w:right w:w="80" w:type="dxa"/>
            </w:tcMar>
          </w:tcPr>
          <w:p>
            <w:pPr>
              <w:spacing w:before="0" w:after="0"/>
              <w:jc w:val="center"/>
            </w:pPr>
            <w:r>
              <w:rPr>
                <w:rFonts w:ascii="Segoe UI" w:hAnsi="Segoe UI"/>
                <w:b/>
                <w:color w:val="166534"/>
                <w:sz w:val="17"/>
              </w:rPr>
              <w:t>8.5</w:t>
            </w:r>
          </w:p>
        </w:tc>
      </w:tr>
      <w:tr>
        <w:trPr>
          <w:cantSplit/>
        </w:trPr>
        <w:tc>
          <w:tcPr>
            <w:tcW w:type="dxa" w:w="1419"/>
            <w:shd w:fill="F8FAFC"/>
            <w:tcMar>
              <w:top w:w="60" w:type="dxa"/>
              <w:bottom w:w="60" w:type="dxa"/>
              <w:left w:w="80" w:type="dxa"/>
              <w:right w:w="80" w:type="dxa"/>
            </w:tcMar>
          </w:tcPr>
          <w:p>
            <w:pPr>
              <w:spacing w:before="0" w:after="0"/>
            </w:pPr>
            <w:r>
              <w:rPr>
                <w:rFonts w:ascii="Segoe UI" w:hAnsi="Segoe UI"/>
                <w:b/>
                <w:color w:val="0F172A"/>
                <w:sz w:val="17"/>
              </w:rPr>
              <w:t>4. Evidence-Backed Assessment Method</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7.0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7.0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8.0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5.0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8.0</w:t>
            </w:r>
          </w:p>
        </w:tc>
        <w:tc>
          <w:tcPr>
            <w:tcW w:type="dxa" w:w="1419"/>
            <w:shd w:fill="F8FAFC"/>
            <w:tcMar>
              <w:top w:w="60" w:type="dxa"/>
              <w:bottom w:w="60" w:type="dxa"/>
              <w:left w:w="80" w:type="dxa"/>
              <w:right w:w="80" w:type="dxa"/>
            </w:tcMar>
          </w:tcPr>
          <w:p>
            <w:pPr>
              <w:spacing w:before="0" w:after="0"/>
              <w:jc w:val="center"/>
            </w:pPr>
            <w:r>
              <w:rPr>
                <w:rFonts w:ascii="Segoe UI" w:hAnsi="Segoe UI"/>
                <w:b/>
                <w:color w:val="166534"/>
                <w:sz w:val="17"/>
              </w:rPr>
              <w:t>8.5</w:t>
            </w:r>
          </w:p>
        </w:tc>
      </w:tr>
      <w:tr>
        <w:trPr>
          <w:cantSplit/>
        </w:trPr>
        <w:tc>
          <w:tcPr>
            <w:tcW w:type="dxa" w:w="1419"/>
            <w:shd w:fill="FFFFFF"/>
            <w:tcMar>
              <w:top w:w="60" w:type="dxa"/>
              <w:bottom w:w="60" w:type="dxa"/>
              <w:left w:w="80" w:type="dxa"/>
              <w:right w:w="80" w:type="dxa"/>
            </w:tcMar>
          </w:tcPr>
          <w:p>
            <w:pPr>
              <w:spacing w:before="0" w:after="0"/>
            </w:pPr>
            <w:r>
              <w:rPr>
                <w:rFonts w:ascii="Segoe UI" w:hAnsi="Segoe UI"/>
                <w:b/>
                <w:color w:val="0F172A"/>
                <w:sz w:val="17"/>
              </w:rPr>
              <w:t>5. SLO / Incident Process</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8.0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7.0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8.5</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7.0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7.0</w:t>
            </w:r>
          </w:p>
        </w:tc>
        <w:tc>
          <w:tcPr>
            <w:tcW w:type="dxa" w:w="1419"/>
            <w:shd w:fill="FFFFFF"/>
            <w:tcMar>
              <w:top w:w="60" w:type="dxa"/>
              <w:bottom w:w="60" w:type="dxa"/>
              <w:left w:w="80" w:type="dxa"/>
              <w:right w:w="80" w:type="dxa"/>
            </w:tcMar>
          </w:tcPr>
          <w:p>
            <w:pPr>
              <w:spacing w:before="0" w:after="0"/>
              <w:jc w:val="center"/>
            </w:pPr>
            <w:r>
              <w:rPr>
                <w:rFonts w:ascii="Segoe UI" w:hAnsi="Segoe UI"/>
                <w:b/>
                <w:color w:val="166534"/>
                <w:sz w:val="17"/>
              </w:rPr>
              <w:t>8.0</w:t>
            </w:r>
          </w:p>
        </w:tc>
      </w:tr>
      <w:tr>
        <w:trPr>
          <w:cantSplit/>
        </w:trPr>
        <w:tc>
          <w:tcPr>
            <w:tcW w:type="dxa" w:w="1419"/>
            <w:shd w:fill="F8FAFC"/>
            <w:tcMar>
              <w:top w:w="60" w:type="dxa"/>
              <w:bottom w:w="60" w:type="dxa"/>
              <w:left w:w="80" w:type="dxa"/>
              <w:right w:w="80" w:type="dxa"/>
            </w:tcMar>
          </w:tcPr>
          <w:p>
            <w:pPr>
              <w:spacing w:before="0" w:after="0"/>
            </w:pPr>
            <w:r>
              <w:rPr>
                <w:rFonts w:ascii="Segoe UI" w:hAnsi="Segoe UI"/>
                <w:b/>
                <w:color w:val="0F172A"/>
                <w:sz w:val="17"/>
              </w:rPr>
              <w:t>6. Data Pipeline Observability</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6.0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5.5</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7.0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6.0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5.5</w:t>
            </w:r>
          </w:p>
        </w:tc>
        <w:tc>
          <w:tcPr>
            <w:tcW w:type="dxa" w:w="1419"/>
            <w:shd w:fill="F8FAFC"/>
            <w:tcMar>
              <w:top w:w="60" w:type="dxa"/>
              <w:bottom w:w="60" w:type="dxa"/>
              <w:left w:w="80" w:type="dxa"/>
              <w:right w:w="80" w:type="dxa"/>
            </w:tcMar>
          </w:tcPr>
          <w:p>
            <w:pPr>
              <w:spacing w:before="0" w:after="0"/>
              <w:jc w:val="center"/>
            </w:pPr>
            <w:r>
              <w:rPr>
                <w:rFonts w:ascii="Segoe UI" w:hAnsi="Segoe UI"/>
                <w:b/>
                <w:color w:val="166534"/>
                <w:sz w:val="17"/>
              </w:rPr>
              <w:t>8.0</w:t>
            </w:r>
          </w:p>
        </w:tc>
      </w:tr>
      <w:tr>
        <w:trPr>
          <w:cantSplit/>
        </w:trPr>
        <w:tc>
          <w:tcPr>
            <w:tcW w:type="dxa" w:w="1419"/>
            <w:shd w:fill="FFFFFF"/>
            <w:tcMar>
              <w:top w:w="60" w:type="dxa"/>
              <w:bottom w:w="60" w:type="dxa"/>
              <w:left w:w="80" w:type="dxa"/>
              <w:right w:w="80" w:type="dxa"/>
            </w:tcMar>
          </w:tcPr>
          <w:p>
            <w:pPr>
              <w:spacing w:before="0" w:after="0"/>
            </w:pPr>
            <w:r>
              <w:rPr>
                <w:rFonts w:ascii="Segoe UI" w:hAnsi="Segoe UI"/>
                <w:b/>
                <w:color w:val="0F172A"/>
                <w:sz w:val="17"/>
              </w:rPr>
              <w:t>7. Business-Impact Framing</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8.0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6.5</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9.0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5.5</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6.5</w:t>
            </w:r>
          </w:p>
        </w:tc>
        <w:tc>
          <w:tcPr>
            <w:tcW w:type="dxa" w:w="1419"/>
            <w:shd w:fill="FFFFFF"/>
            <w:tcMar>
              <w:top w:w="60" w:type="dxa"/>
              <w:bottom w:w="60" w:type="dxa"/>
              <w:left w:w="80" w:type="dxa"/>
              <w:right w:w="80" w:type="dxa"/>
            </w:tcMar>
          </w:tcPr>
          <w:p>
            <w:pPr>
              <w:spacing w:before="0" w:after="0"/>
              <w:jc w:val="center"/>
            </w:pPr>
            <w:r>
              <w:rPr>
                <w:rFonts w:ascii="Segoe UI" w:hAnsi="Segoe UI"/>
                <w:b/>
                <w:color w:val="166534"/>
                <w:sz w:val="17"/>
              </w:rPr>
              <w:t>8.0</w:t>
            </w:r>
          </w:p>
        </w:tc>
      </w:tr>
      <w:tr>
        <w:trPr>
          <w:cantSplit/>
        </w:trPr>
        <w:tc>
          <w:tcPr>
            <w:tcW w:type="dxa" w:w="1419"/>
            <w:shd w:fill="F8FAFC"/>
            <w:tcMar>
              <w:top w:w="60" w:type="dxa"/>
              <w:bottom w:w="60" w:type="dxa"/>
              <w:left w:w="80" w:type="dxa"/>
              <w:right w:w="80" w:type="dxa"/>
            </w:tcMar>
          </w:tcPr>
          <w:p>
            <w:pPr>
              <w:spacing w:before="0" w:after="0"/>
            </w:pPr>
            <w:r>
              <w:rPr>
                <w:rFonts w:ascii="Segoe UI" w:hAnsi="Segoe UI"/>
                <w:b/>
                <w:color w:val="0F172A"/>
                <w:sz w:val="17"/>
              </w:rPr>
              <w:t>8. Tool Rationalization</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7.0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5.0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8.0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5.0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4.5</w:t>
            </w:r>
          </w:p>
        </w:tc>
        <w:tc>
          <w:tcPr>
            <w:tcW w:type="dxa" w:w="1419"/>
            <w:shd w:fill="F8FAFC"/>
            <w:tcMar>
              <w:top w:w="60" w:type="dxa"/>
              <w:bottom w:w="60" w:type="dxa"/>
              <w:left w:w="80" w:type="dxa"/>
              <w:right w:w="80" w:type="dxa"/>
            </w:tcMar>
          </w:tcPr>
          <w:p>
            <w:pPr>
              <w:spacing w:before="0" w:after="0"/>
              <w:jc w:val="center"/>
            </w:pPr>
            <w:r>
              <w:rPr>
                <w:rFonts w:ascii="Segoe UI" w:hAnsi="Segoe UI"/>
                <w:b/>
                <w:color w:val="166534"/>
                <w:sz w:val="17"/>
              </w:rPr>
              <w:t>8.0</w:t>
            </w:r>
          </w:p>
        </w:tc>
      </w:tr>
      <w:tr>
        <w:trPr>
          <w:cantSplit/>
        </w:trPr>
        <w:tc>
          <w:tcPr>
            <w:tcW w:type="dxa" w:w="1419"/>
            <w:shd w:fill="FFFFFF"/>
            <w:tcMar>
              <w:top w:w="60" w:type="dxa"/>
              <w:bottom w:w="60" w:type="dxa"/>
              <w:left w:w="80" w:type="dxa"/>
              <w:right w:w="80" w:type="dxa"/>
            </w:tcMar>
          </w:tcPr>
          <w:p>
            <w:pPr>
              <w:spacing w:before="0" w:after="0"/>
            </w:pPr>
            <w:r>
              <w:rPr>
                <w:rFonts w:ascii="Segoe UI" w:hAnsi="Segoe UI"/>
                <w:b/>
                <w:color w:val="0F172A"/>
                <w:sz w:val="17"/>
              </w:rPr>
              <w:t>9. Speed / Low-Friction Entry</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6.0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7.0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5.0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8.0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7.0</w:t>
            </w:r>
          </w:p>
        </w:tc>
        <w:tc>
          <w:tcPr>
            <w:tcW w:type="dxa" w:w="1419"/>
            <w:shd w:fill="FFFFFF"/>
            <w:tcMar>
              <w:top w:w="60" w:type="dxa"/>
              <w:bottom w:w="60" w:type="dxa"/>
              <w:left w:w="80" w:type="dxa"/>
              <w:right w:w="80" w:type="dxa"/>
            </w:tcMar>
          </w:tcPr>
          <w:p>
            <w:pPr>
              <w:spacing w:before="0" w:after="0"/>
              <w:jc w:val="center"/>
            </w:pPr>
            <w:r>
              <w:rPr>
                <w:rFonts w:ascii="Segoe UI" w:hAnsi="Segoe UI"/>
                <w:b/>
                <w:color w:val="166534"/>
                <w:sz w:val="17"/>
              </w:rPr>
              <w:t>8.5</w:t>
            </w:r>
          </w:p>
        </w:tc>
      </w:tr>
      <w:tr>
        <w:trPr>
          <w:cantSplit/>
        </w:trPr>
        <w:tc>
          <w:tcPr>
            <w:tcW w:type="dxa" w:w="1419"/>
            <w:shd w:fill="F8FAFC"/>
            <w:tcMar>
              <w:top w:w="60" w:type="dxa"/>
              <w:bottom w:w="60" w:type="dxa"/>
              <w:left w:w="80" w:type="dxa"/>
              <w:right w:w="80" w:type="dxa"/>
            </w:tcMar>
          </w:tcPr>
          <w:p>
            <w:pPr>
              <w:spacing w:before="0" w:after="0"/>
            </w:pPr>
            <w:r>
              <w:rPr>
                <w:rFonts w:ascii="Segoe UI" w:hAnsi="Segoe UI"/>
                <w:b/>
                <w:color w:val="0F172A"/>
                <w:sz w:val="17"/>
              </w:rPr>
              <w:t>10. Senior-Led Focus</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6.0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6.0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5.0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8.0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8.0</w:t>
            </w:r>
          </w:p>
        </w:tc>
        <w:tc>
          <w:tcPr>
            <w:tcW w:type="dxa" w:w="1419"/>
            <w:shd w:fill="F8FAFC"/>
            <w:tcMar>
              <w:top w:w="60" w:type="dxa"/>
              <w:bottom w:w="60" w:type="dxa"/>
              <w:left w:w="80" w:type="dxa"/>
              <w:right w:w="80" w:type="dxa"/>
            </w:tcMar>
          </w:tcPr>
          <w:p>
            <w:pPr>
              <w:spacing w:before="0" w:after="0"/>
              <w:jc w:val="center"/>
            </w:pPr>
            <w:r>
              <w:rPr>
                <w:rFonts w:ascii="Segoe UI" w:hAnsi="Segoe UI"/>
                <w:b/>
                <w:color w:val="166534"/>
                <w:sz w:val="17"/>
              </w:rPr>
              <w:t>9.0</w:t>
            </w:r>
          </w:p>
        </w:tc>
      </w:tr>
      <w:tr>
        <w:trPr>
          <w:cantSplit/>
        </w:trPr>
        <w:tc>
          <w:tcPr>
            <w:tcW w:type="dxa" w:w="1419"/>
            <w:shd w:fill="FFFFFF"/>
            <w:tcMar>
              <w:top w:w="60" w:type="dxa"/>
              <w:bottom w:w="60" w:type="dxa"/>
              <w:left w:w="80" w:type="dxa"/>
              <w:right w:w="80" w:type="dxa"/>
            </w:tcMar>
          </w:tcPr>
          <w:p>
            <w:pPr>
              <w:spacing w:before="0" w:after="0"/>
            </w:pPr>
            <w:r>
              <w:rPr>
                <w:rFonts w:ascii="Segoe UI" w:hAnsi="Segoe UI"/>
                <w:b/>
                <w:color w:val="0F172A"/>
                <w:sz w:val="17"/>
              </w:rPr>
              <w:t>11. Implementation Follow-Through</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4.0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6.0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7.0</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6.5</w:t>
            </w:r>
          </w:p>
        </w:tc>
        <w:tc>
          <w:tcPr>
            <w:tcW w:type="dxa" w:w="1419"/>
            <w:shd w:fill="FFFFFF"/>
            <w:tcMar>
              <w:top w:w="60" w:type="dxa"/>
              <w:bottom w:w="60" w:type="dxa"/>
              <w:left w:w="80" w:type="dxa"/>
              <w:right w:w="80" w:type="dxa"/>
            </w:tcMar>
          </w:tcPr>
          <w:p>
            <w:pPr>
              <w:spacing w:before="0" w:after="0"/>
              <w:jc w:val="center"/>
            </w:pPr>
            <w:r>
              <w:rPr>
                <w:rFonts w:ascii="Segoe UI" w:hAnsi="Segoe UI"/>
                <w:sz w:val="17"/>
              </w:rPr>
              <w:t>6.5</w:t>
            </w:r>
          </w:p>
        </w:tc>
        <w:tc>
          <w:tcPr>
            <w:tcW w:type="dxa" w:w="1419"/>
            <w:shd w:fill="FFFFFF"/>
            <w:tcMar>
              <w:top w:w="60" w:type="dxa"/>
              <w:bottom w:w="60" w:type="dxa"/>
              <w:left w:w="80" w:type="dxa"/>
              <w:right w:w="80" w:type="dxa"/>
            </w:tcMar>
          </w:tcPr>
          <w:p>
            <w:pPr>
              <w:spacing w:before="0" w:after="0"/>
              <w:jc w:val="center"/>
            </w:pPr>
            <w:r>
              <w:rPr>
                <w:rFonts w:ascii="Segoe UI" w:hAnsi="Segoe UI"/>
                <w:b/>
                <w:color w:val="166534"/>
                <w:sz w:val="17"/>
              </w:rPr>
              <w:t>8.0</w:t>
            </w:r>
          </w:p>
        </w:tc>
      </w:tr>
      <w:tr>
        <w:trPr>
          <w:cantSplit/>
        </w:trPr>
        <w:tc>
          <w:tcPr>
            <w:tcW w:type="dxa" w:w="1419"/>
            <w:shd w:fill="F8FAFC"/>
            <w:tcMar>
              <w:top w:w="60" w:type="dxa"/>
              <w:bottom w:w="60" w:type="dxa"/>
              <w:left w:w="80" w:type="dxa"/>
              <w:right w:w="80" w:type="dxa"/>
            </w:tcMar>
          </w:tcPr>
          <w:p>
            <w:pPr>
              <w:spacing w:before="0" w:after="0"/>
            </w:pPr>
            <w:r>
              <w:rPr>
                <w:rFonts w:ascii="Segoe UI" w:hAnsi="Segoe UI"/>
                <w:b/>
                <w:color w:val="0F172A"/>
                <w:sz w:val="17"/>
              </w:rPr>
              <w:t>12. Cost Competitiveness</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6.0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7.0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4.0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9.0</w:t>
            </w:r>
          </w:p>
        </w:tc>
        <w:tc>
          <w:tcPr>
            <w:tcW w:type="dxa" w:w="1419"/>
            <w:shd w:fill="F8FAFC"/>
            <w:tcMar>
              <w:top w:w="60" w:type="dxa"/>
              <w:bottom w:w="60" w:type="dxa"/>
              <w:left w:w="80" w:type="dxa"/>
              <w:right w:w="80" w:type="dxa"/>
            </w:tcMar>
          </w:tcPr>
          <w:p>
            <w:pPr>
              <w:spacing w:before="0" w:after="0"/>
              <w:jc w:val="center"/>
            </w:pPr>
            <w:r>
              <w:rPr>
                <w:rFonts w:ascii="Segoe UI" w:hAnsi="Segoe UI"/>
                <w:sz w:val="17"/>
              </w:rPr>
              <w:t>8.0</w:t>
            </w:r>
          </w:p>
        </w:tc>
        <w:tc>
          <w:tcPr>
            <w:tcW w:type="dxa" w:w="1419"/>
            <w:shd w:fill="F8FAFC"/>
            <w:tcMar>
              <w:top w:w="60" w:type="dxa"/>
              <w:bottom w:w="60" w:type="dxa"/>
              <w:left w:w="80" w:type="dxa"/>
              <w:right w:w="80" w:type="dxa"/>
            </w:tcMar>
          </w:tcPr>
          <w:p>
            <w:pPr>
              <w:spacing w:before="0" w:after="0"/>
              <w:jc w:val="center"/>
            </w:pPr>
            <w:r>
              <w:rPr>
                <w:rFonts w:ascii="Segoe UI" w:hAnsi="Segoe UI"/>
                <w:b/>
                <w:color w:val="166534"/>
                <w:sz w:val="17"/>
              </w:rPr>
              <w:t>8.5</w:t>
            </w:r>
          </w:p>
        </w:tc>
      </w:tr>
      <w:tr>
        <w:trPr>
          <w:cantSplit/>
        </w:trPr>
        <w:tc>
          <w:tcPr>
            <w:tcW w:type="dxa" w:w="1419"/>
            <w:shd w:fill="F1F5F9"/>
            <w:tcMar>
              <w:top w:w="60" w:type="dxa"/>
              <w:bottom w:w="60" w:type="dxa"/>
              <w:left w:w="80" w:type="dxa"/>
              <w:right w:w="80" w:type="dxa"/>
            </w:tcMar>
          </w:tcPr>
          <w:p>
            <w:pPr>
              <w:spacing w:before="0" w:after="0"/>
            </w:pPr>
            <w:r>
              <w:rPr>
                <w:rFonts w:ascii="Segoe UI" w:hAnsi="Segoe UI"/>
                <w:b/>
                <w:color w:val="0F172A"/>
                <w:sz w:val="17"/>
              </w:rPr>
              <w:t>OVERALL WINNABILITY</w:t>
            </w:r>
          </w:p>
        </w:tc>
        <w:tc>
          <w:tcPr>
            <w:tcW w:type="dxa" w:w="1419"/>
            <w:shd w:fill="F1F5F9"/>
            <w:tcMar>
              <w:top w:w="60" w:type="dxa"/>
              <w:bottom w:w="60" w:type="dxa"/>
              <w:left w:w="80" w:type="dxa"/>
              <w:right w:w="80" w:type="dxa"/>
            </w:tcMar>
          </w:tcPr>
          <w:p>
            <w:pPr>
              <w:spacing w:before="0" w:after="0"/>
              <w:jc w:val="center"/>
            </w:pPr>
            <w:r>
              <w:rPr>
                <w:rFonts w:ascii="Segoe UI" w:hAnsi="Segoe UI"/>
                <w:b/>
                <w:sz w:val="17"/>
              </w:rPr>
              <w:t>7.5</w:t>
            </w:r>
          </w:p>
        </w:tc>
        <w:tc>
          <w:tcPr>
            <w:tcW w:type="dxa" w:w="1419"/>
            <w:shd w:fill="F1F5F9"/>
            <w:tcMar>
              <w:top w:w="60" w:type="dxa"/>
              <w:bottom w:w="60" w:type="dxa"/>
              <w:left w:w="80" w:type="dxa"/>
              <w:right w:w="80" w:type="dxa"/>
            </w:tcMar>
          </w:tcPr>
          <w:p>
            <w:pPr>
              <w:spacing w:before="0" w:after="0"/>
              <w:jc w:val="center"/>
            </w:pPr>
            <w:r>
              <w:rPr>
                <w:rFonts w:ascii="Segoe UI" w:hAnsi="Segoe UI"/>
                <w:b/>
                <w:sz w:val="17"/>
              </w:rPr>
              <w:t>8.0</w:t>
            </w:r>
          </w:p>
        </w:tc>
        <w:tc>
          <w:tcPr>
            <w:tcW w:type="dxa" w:w="1419"/>
            <w:shd w:fill="F1F5F9"/>
            <w:tcMar>
              <w:top w:w="60" w:type="dxa"/>
              <w:bottom w:w="60" w:type="dxa"/>
              <w:left w:w="80" w:type="dxa"/>
              <w:right w:w="80" w:type="dxa"/>
            </w:tcMar>
          </w:tcPr>
          <w:p>
            <w:pPr>
              <w:spacing w:before="0" w:after="0"/>
              <w:jc w:val="center"/>
            </w:pPr>
            <w:r>
              <w:rPr>
                <w:rFonts w:ascii="Segoe UI" w:hAnsi="Segoe UI"/>
                <w:b/>
                <w:sz w:val="17"/>
              </w:rPr>
              <w:t>6.5</w:t>
            </w:r>
          </w:p>
        </w:tc>
        <w:tc>
          <w:tcPr>
            <w:tcW w:type="dxa" w:w="1419"/>
            <w:shd w:fill="F1F5F9"/>
            <w:tcMar>
              <w:top w:w="60" w:type="dxa"/>
              <w:bottom w:w="60" w:type="dxa"/>
              <w:left w:w="80" w:type="dxa"/>
              <w:right w:w="80" w:type="dxa"/>
            </w:tcMar>
          </w:tcPr>
          <w:p>
            <w:pPr>
              <w:spacing w:before="0" w:after="0"/>
              <w:jc w:val="center"/>
            </w:pPr>
            <w:r>
              <w:rPr>
                <w:rFonts w:ascii="Segoe UI" w:hAnsi="Segoe UI"/>
                <w:b/>
                <w:sz w:val="17"/>
              </w:rPr>
              <w:t>6.0</w:t>
            </w:r>
          </w:p>
        </w:tc>
        <w:tc>
          <w:tcPr>
            <w:tcW w:type="dxa" w:w="1419"/>
            <w:shd w:fill="F1F5F9"/>
            <w:tcMar>
              <w:top w:w="60" w:type="dxa"/>
              <w:bottom w:w="60" w:type="dxa"/>
              <w:left w:w="80" w:type="dxa"/>
              <w:right w:w="80" w:type="dxa"/>
            </w:tcMar>
          </w:tcPr>
          <w:p>
            <w:pPr>
              <w:spacing w:before="0" w:after="0"/>
              <w:jc w:val="center"/>
            </w:pPr>
            <w:r>
              <w:rPr>
                <w:rFonts w:ascii="Segoe UI" w:hAnsi="Segoe UI"/>
                <w:b/>
                <w:sz w:val="17"/>
              </w:rPr>
              <w:t>6.0</w:t>
            </w:r>
          </w:p>
        </w:tc>
        <w:tc>
          <w:tcPr>
            <w:tcW w:type="dxa" w:w="1419"/>
            <w:shd w:fill="F1F5F9"/>
            <w:tcMar>
              <w:top w:w="60" w:type="dxa"/>
              <w:bottom w:w="60" w:type="dxa"/>
              <w:left w:w="80" w:type="dxa"/>
              <w:right w:w="80" w:type="dxa"/>
            </w:tcMar>
          </w:tcPr>
          <w:p>
            <w:pPr>
              <w:spacing w:before="0" w:after="0"/>
              <w:jc w:val="center"/>
            </w:pPr>
            <w:r>
              <w:rPr>
                <w:rFonts w:ascii="Segoe UI" w:hAnsi="Segoe UI"/>
                <w:b/>
                <w:color w:val="166534"/>
                <w:sz w:val="17"/>
              </w:rPr>
              <w:t>7.5 – 8.0</w:t>
            </w:r>
          </w:p>
        </w:tc>
      </w:tr>
    </w:tbl>
    <w:p>
      <w:pPr>
        <w:keepNext/>
        <w:spacing w:before="280" w:after="80"/>
      </w:pPr>
      <w:r>
        <w:rPr>
          <w:rFonts w:ascii="Segoe UI" w:hAnsi="Segoe UI"/>
          <w:b/>
          <w:color w:val="1E3A8A"/>
          <w:sz w:val="25"/>
        </w:rPr>
        <w:t>3. Battlecard 1: Vithi vs. Observability Product Vendors</w:t>
      </w:r>
    </w:p>
    <w:p>
      <w:pPr>
        <w:spacing w:before="0" w:after="60" w:line="276" w:lineRule="auto"/>
      </w:pPr>
      <w:r>
        <w:rPr>
          <w:rFonts w:ascii="Segoe UI" w:hAnsi="Segoe UI"/>
          <w:color w:val="0F172A"/>
          <w:sz w:val="19"/>
        </w:rPr>
        <w:t>Customer Alternatives: Dynatrace, Datadog, New Relic, Splunk, Elastic, Grafana Cloud, AppDynamics.</w:t>
      </w:r>
    </w:p>
    <w:p>
      <w:pPr>
        <w:spacing w:before="0" w:after="60" w:line="276" w:lineRule="auto"/>
      </w:pPr>
      <w:r>
        <w:rPr>
          <w:rFonts w:ascii="Segoe UI" w:hAnsi="Segoe UI"/>
          <w:color w:val="0F172A"/>
          <w:sz w:val="19"/>
        </w:rPr>
        <w:t>These vendors bring live platforms, agent discovery, APM dashboards, logs, metrics, traces, and topology maps. Dynatrace, for example, positions cloud observability around automatic instrumentation and AI-driven root cause analysis. AWS also treats telemetry as foundational.</w:t>
      </w:r>
    </w:p>
    <w:p>
      <w:pPr>
        <w:keepNext/>
        <w:spacing w:before="200" w:after="60"/>
      </w:pPr>
      <w:r>
        <w:rPr>
          <w:rFonts w:ascii="Segoe UI" w:hAnsi="Segoe UI"/>
          <w:b/>
          <w:color w:val="334155"/>
          <w:sz w:val="21"/>
        </w:rPr>
        <w:t>3.1 Current Evaluation Score Breakdown (Vithi Current: 5.0 / 10 → Target: 7.0 / 10)</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334155"/>
            <w:tcMar>
              <w:top w:w="100" w:type="dxa"/>
              <w:bottom w:w="100" w:type="dxa"/>
              <w:left w:w="100" w:type="dxa"/>
              <w:right w:w="100" w:type="dxa"/>
            </w:tcMar>
          </w:tcPr>
          <w:p>
            <w:pPr>
              <w:spacing w:before="0" w:after="0"/>
              <w:jc w:val="left"/>
            </w:pPr>
            <w:r>
              <w:rPr>
                <w:rFonts w:ascii="Segoe UI" w:hAnsi="Segoe UI"/>
                <w:b/>
                <w:color w:val="FFFFFF"/>
                <w:sz w:val="17"/>
              </w:rPr>
              <w:t>Evaluation Criterion</w:t>
            </w:r>
          </w:p>
        </w:tc>
        <w:tc>
          <w:tcPr>
            <w:tcW w:type="dxa" w:w="3312"/>
            <w:shd w:fill="334155"/>
            <w:tcMar>
              <w:top w:w="100" w:type="dxa"/>
              <w:bottom w:w="100" w:type="dxa"/>
              <w:left w:w="100" w:type="dxa"/>
              <w:right w:w="100" w:type="dxa"/>
            </w:tcMar>
          </w:tcPr>
          <w:p>
            <w:pPr>
              <w:spacing w:before="0" w:after="0"/>
              <w:jc w:val="left"/>
            </w:pPr>
            <w:r>
              <w:rPr>
                <w:rFonts w:ascii="Segoe UI" w:hAnsi="Segoe UI"/>
                <w:b/>
                <w:color w:val="FFFFFF"/>
                <w:sz w:val="17"/>
              </w:rPr>
              <w:t>Score (/10)</w:t>
            </w:r>
          </w:p>
        </w:tc>
        <w:tc>
          <w:tcPr>
            <w:tcW w:type="dxa" w:w="3312"/>
            <w:shd w:fill="334155"/>
            <w:tcMar>
              <w:top w:w="100" w:type="dxa"/>
              <w:bottom w:w="100" w:type="dxa"/>
              <w:left w:w="100" w:type="dxa"/>
              <w:right w:w="100" w:type="dxa"/>
            </w:tcMar>
          </w:tcPr>
          <w:p>
            <w:pPr>
              <w:spacing w:before="0" w:after="0"/>
              <w:jc w:val="left"/>
            </w:pPr>
            <w:r>
              <w:rPr>
                <w:rFonts w:ascii="Segoe UI" w:hAnsi="Segoe UI"/>
                <w:b/>
                <w:color w:val="FFFFFF"/>
                <w:sz w:val="17"/>
              </w:rPr>
              <w:t>Assessment Comment &amp; Strategic Implication</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Platform / Tool Capability</w:t>
            </w:r>
          </w:p>
        </w:tc>
        <w:tc>
          <w:tcPr>
            <w:tcW w:type="dxa" w:w="3312"/>
            <w:shd w:fill="FFFFFF"/>
            <w:tcMar>
              <w:top w:w="60" w:type="dxa"/>
              <w:bottom w:w="60" w:type="dxa"/>
              <w:left w:w="80" w:type="dxa"/>
              <w:right w:w="80" w:type="dxa"/>
            </w:tcMar>
          </w:tcPr>
          <w:p>
            <w:pPr>
              <w:spacing w:before="0" w:after="0"/>
              <w:jc w:val="center"/>
            </w:pPr>
            <w:r>
              <w:rPr>
                <w:rFonts w:ascii="Segoe UI" w:hAnsi="Segoe UI"/>
                <w:b/>
                <w:sz w:val="17"/>
              </w:rPr>
              <w:t>3.0</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Vithi does not have a software platform comparable to Dynatrace, Datadog, or New Relic. Do not compete on software.</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Assessment Method</w:t>
            </w:r>
          </w:p>
        </w:tc>
        <w:tc>
          <w:tcPr>
            <w:tcW w:type="dxa" w:w="3312"/>
            <w:shd w:fill="F8FAFC"/>
            <w:tcMar>
              <w:top w:w="60" w:type="dxa"/>
              <w:bottom w:w="60" w:type="dxa"/>
              <w:left w:w="80" w:type="dxa"/>
              <w:right w:w="80" w:type="dxa"/>
            </w:tcMar>
          </w:tcPr>
          <w:p>
            <w:pPr>
              <w:spacing w:before="0" w:after="0"/>
              <w:jc w:val="center"/>
            </w:pPr>
            <w:r>
              <w:rPr>
                <w:rFonts w:ascii="Segoe UI" w:hAnsi="Segoe UI"/>
                <w:b/>
                <w:sz w:val="17"/>
              </w:rPr>
              <w:t>7.0</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Strong evidence-backed diagnostic structure reviewing physical configs and 90-day alert logs.</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Tool-Neutral Advisory</w:t>
            </w:r>
          </w:p>
        </w:tc>
        <w:tc>
          <w:tcPr>
            <w:tcW w:type="dxa" w:w="3312"/>
            <w:shd w:fill="FFFFFF"/>
            <w:tcMar>
              <w:top w:w="60" w:type="dxa"/>
              <w:bottom w:w="60" w:type="dxa"/>
              <w:left w:w="80" w:type="dxa"/>
              <w:right w:w="80" w:type="dxa"/>
            </w:tcMar>
          </w:tcPr>
          <w:p>
            <w:pPr>
              <w:spacing w:before="0" w:after="0"/>
              <w:jc w:val="center"/>
            </w:pPr>
            <w:r>
              <w:rPr>
                <w:rFonts w:ascii="Segoe UI" w:hAnsi="Segoe UI"/>
                <w:b/>
                <w:sz w:val="17"/>
              </w:rPr>
              <w:t>7.0</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Potential high-value strength: Vithi has zero vendor bias and evaluates existing tools impartially.</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Demo / Automation Proof</w:t>
            </w:r>
          </w:p>
        </w:tc>
        <w:tc>
          <w:tcPr>
            <w:tcW w:type="dxa" w:w="3312"/>
            <w:shd w:fill="F8FAFC"/>
            <w:tcMar>
              <w:top w:w="60" w:type="dxa"/>
              <w:bottom w:w="60" w:type="dxa"/>
              <w:left w:w="80" w:type="dxa"/>
              <w:right w:w="80" w:type="dxa"/>
            </w:tcMar>
          </w:tcPr>
          <w:p>
            <w:pPr>
              <w:spacing w:before="0" w:after="0"/>
              <w:jc w:val="center"/>
            </w:pPr>
            <w:r>
              <w:rPr>
                <w:rFonts w:ascii="Segoe UI" w:hAnsi="Segoe UI"/>
                <w:b/>
                <w:sz w:val="17"/>
              </w:rPr>
              <w:t>3.0</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AIOps and GenAI incident summary claims need proof or should be positioned as pilot/roadmap capabilities.</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Business Outcome Linkage</w:t>
            </w:r>
          </w:p>
        </w:tc>
        <w:tc>
          <w:tcPr>
            <w:tcW w:type="dxa" w:w="3312"/>
            <w:shd w:fill="FFFFFF"/>
            <w:tcMar>
              <w:top w:w="60" w:type="dxa"/>
              <w:bottom w:w="60" w:type="dxa"/>
              <w:left w:w="80" w:type="dxa"/>
              <w:right w:w="80" w:type="dxa"/>
            </w:tcMar>
          </w:tcPr>
          <w:p>
            <w:pPr>
              <w:spacing w:before="0" w:after="0"/>
              <w:jc w:val="center"/>
            </w:pPr>
            <w:r>
              <w:rPr>
                <w:rFonts w:ascii="Segoe UI" w:hAnsi="Segoe UI"/>
                <w:b/>
                <w:sz w:val="17"/>
              </w:rPr>
              <w:t>6.0</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Strong hook in executive one-pager, reinforced with quantified effort reduction (70%+ MTTR decrease) and engineering toil elimination.</w:t>
            </w:r>
          </w:p>
        </w:tc>
      </w:tr>
    </w:tbl>
    <w:p>
      <w:pPr>
        <w:spacing w:after="60"/>
      </w:pPr>
    </w:p>
    <w:p>
      <w:pPr>
        <w:keepNext/>
        <w:spacing w:before="200" w:after="60"/>
      </w:pPr>
      <w:r>
        <w:rPr>
          <w:rFonts w:ascii="Segoe UI" w:hAnsi="Segoe UI"/>
          <w:b/>
          <w:color w:val="334155"/>
          <w:sz w:val="21"/>
        </w:rPr>
        <w:t>3.2 The Core Consultative Pitch</w:t>
      </w:r>
    </w:p>
    <w:tbl>
      <w:tblPr>
        <w:tblW w:type="auto" w:w="0"/>
        <w:jc w:val="center"/>
        <w:tblLook w:firstColumn="1" w:firstRow="1" w:lastColumn="0" w:lastRow="0" w:noHBand="0" w:noVBand="1" w:val="04A0"/>
      </w:tblPr>
      <w:tblGrid>
        <w:gridCol w:w="9936"/>
      </w:tblGrid>
      <w:tr>
        <w:tc>
          <w:tcPr>
            <w:tcW w:type="dxa" w:w="9936"/>
            <w:shd w:fill="DBEAFE"/>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THE VITHI CORE STATEMENT</w:t>
              <w:br/>
            </w:r>
            <w:r>
              <w:rPr>
                <w:rFonts w:ascii="Segoe UI" w:hAnsi="Segoe UI"/>
                <w:color w:val="0F172A"/>
                <w:sz w:val="18"/>
              </w:rPr>
              <w:t>"We are not replacing your observability tools. We assess whether your current tools are actually reducing alert noise, improving ownership, accelerating RCA, supporting SLOs, and producing business/audit evidence."</w:t>
            </w:r>
          </w:p>
        </w:tc>
      </w:tr>
    </w:tbl>
    <w:p>
      <w:pPr>
        <w:spacing w:after="60"/>
      </w:pPr>
    </w:p>
    <w:p>
      <w:pPr>
        <w:keepNext/>
        <w:spacing w:before="200" w:after="60"/>
      </w:pPr>
      <w:r>
        <w:rPr>
          <w:rFonts w:ascii="Segoe UI" w:hAnsi="Segoe UI"/>
          <w:b/>
          <w:color w:val="334155"/>
          <w:sz w:val="21"/>
        </w:rPr>
        <w:t>3.3 The Tool-Stack Evaluation Module (The 6 Deliverables)</w:t>
      </w:r>
    </w:p>
    <w:p>
      <w:pPr>
        <w:spacing w:before="0" w:after="60" w:line="276" w:lineRule="auto"/>
      </w:pPr>
      <w:r>
        <w:rPr>
          <w:rFonts w:ascii="Segoe UI" w:hAnsi="Segoe UI"/>
          <w:color w:val="0F172A"/>
          <w:sz w:val="19"/>
        </w:rPr>
        <w:t>To avoid tool-vendor bias and convert assessment into action, Vithi delivers a structured 6-output tool rationalization module: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1E3A8A"/>
            <w:tcMar>
              <w:top w:w="100" w:type="dxa"/>
              <w:bottom w:w="100" w:type="dxa"/>
              <w:left w:w="100" w:type="dxa"/>
              <w:right w:w="100" w:type="dxa"/>
            </w:tcMar>
          </w:tcPr>
          <w:p>
            <w:pPr>
              <w:spacing w:before="0" w:after="0"/>
              <w:jc w:val="left"/>
            </w:pPr>
            <w:r>
              <w:rPr>
                <w:rFonts w:ascii="Segoe UI" w:hAnsi="Segoe UI"/>
                <w:b/>
                <w:color w:val="FFFFFF"/>
                <w:sz w:val="17"/>
              </w:rPr>
              <w:t>Output Module Deliverable</w:t>
            </w:r>
          </w:p>
        </w:tc>
        <w:tc>
          <w:tcPr>
            <w:tcW w:type="dxa" w:w="4968"/>
            <w:shd w:fill="1E3A8A"/>
            <w:tcMar>
              <w:top w:w="100" w:type="dxa"/>
              <w:bottom w:w="100" w:type="dxa"/>
              <w:left w:w="100" w:type="dxa"/>
              <w:right w:w="100" w:type="dxa"/>
            </w:tcMar>
          </w:tcPr>
          <w:p>
            <w:pPr>
              <w:spacing w:before="0" w:after="0"/>
              <w:jc w:val="left"/>
            </w:pPr>
            <w:r>
              <w:rPr>
                <w:rFonts w:ascii="Segoe UI" w:hAnsi="Segoe UI"/>
                <w:b/>
                <w:color w:val="FFFFFF"/>
                <w:sz w:val="17"/>
              </w:rPr>
              <w:t>Specific Purpose &amp; Customer Value</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1. Current Tool Landscape Map</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Shows what tools exist, where they are deployed, and who owns them across AWS and hybrid estates.</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2. Tool Coverage vs. Critical Services / Data Flows</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Highlights blind spots across microservices, asynchronous Kafka queues, and batch ETL pipelines.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3. Tool Overlap / Duplication Analysis</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Identifies operational confusion and financial waste (e.g. dual-logging to both Splunk and Datadog).</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4. Alert Noise &amp; Routing Analysis</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Audits 90-day alert logs to show practical noise reduction (e.g. 61% noise cut to &lt;8%).</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5. Reuse / Extend / Rationalize Recommendation</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Provides an objective recommendation to retain, tune, or decommission tools—avoiding vendor bias.</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6. Implementation Sprint</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Converts diagnostic findings into an actionable 90-day execution sprint with measurable ROI.</w:t>
            </w:r>
          </w:p>
        </w:tc>
      </w:tr>
    </w:tbl>
    <w:p>
      <w:pPr>
        <w:spacing w:after="60"/>
      </w:pPr>
    </w:p>
    <w:p>
      <w:pPr>
        <w:keepNext/>
        <w:spacing w:before="280" w:after="80"/>
      </w:pPr>
      <w:r>
        <w:rPr>
          <w:rFonts w:ascii="Segoe UI" w:hAnsi="Segoe UI"/>
          <w:b/>
          <w:color w:val="1E3A8A"/>
          <w:sz w:val="25"/>
        </w:rPr>
        <w:t>4. Battlecard 2: Vithi vs. AWS Cloud-Native Reviews</w:t>
      </w:r>
    </w:p>
    <w:p>
      <w:pPr>
        <w:spacing w:before="0" w:after="60" w:line="276" w:lineRule="auto"/>
      </w:pPr>
      <w:r>
        <w:rPr>
          <w:rFonts w:ascii="Segoe UI" w:hAnsi="Segoe UI"/>
          <w:color w:val="0F172A"/>
          <w:sz w:val="19"/>
        </w:rPr>
        <w:t>Customer Alternatives: AWS Well-Architected Framework Reviews, AWS Professional Services, AWS Premier Partners, Cloud-Native Operational Excellence Reviews.</w:t>
      </w:r>
    </w:p>
    <w:p>
      <w:pPr>
        <w:spacing w:before="0" w:after="60" w:line="276" w:lineRule="auto"/>
      </w:pPr>
      <w:r>
        <w:rPr>
          <w:rFonts w:ascii="Segoe UI" w:hAnsi="Segoe UI"/>
          <w:color w:val="0F172A"/>
          <w:sz w:val="19"/>
        </w:rPr>
        <w:t>AWS has immense brand credibility and native framework strength. AWS Well-Architected emphasizes application telemetry, metrics, logs, traces, alert ownership, and acting on telemetry to understand and operate workloads reliably.</w:t>
      </w:r>
    </w:p>
    <w:p>
      <w:pPr>
        <w:keepNext/>
        <w:spacing w:before="200" w:after="60"/>
      </w:pPr>
      <w:r>
        <w:rPr>
          <w:rFonts w:ascii="Segoe UI" w:hAnsi="Segoe UI"/>
          <w:b/>
          <w:color w:val="334155"/>
          <w:sz w:val="21"/>
        </w:rPr>
        <w:t>4.1 Current Evaluation Score Breakdown (Vithi Current: 7.0 / 10 → Target: 8.5 / 10)</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334155"/>
            <w:tcMar>
              <w:top w:w="100" w:type="dxa"/>
              <w:bottom w:w="100" w:type="dxa"/>
              <w:left w:w="100" w:type="dxa"/>
              <w:right w:w="100" w:type="dxa"/>
            </w:tcMar>
          </w:tcPr>
          <w:p>
            <w:pPr>
              <w:spacing w:before="0" w:after="0"/>
              <w:jc w:val="left"/>
            </w:pPr>
            <w:r>
              <w:rPr>
                <w:rFonts w:ascii="Segoe UI" w:hAnsi="Segoe UI"/>
                <w:b/>
                <w:color w:val="FFFFFF"/>
                <w:sz w:val="17"/>
              </w:rPr>
              <w:t>Evaluation Criterion</w:t>
            </w:r>
          </w:p>
        </w:tc>
        <w:tc>
          <w:tcPr>
            <w:tcW w:type="dxa" w:w="3312"/>
            <w:shd w:fill="334155"/>
            <w:tcMar>
              <w:top w:w="100" w:type="dxa"/>
              <w:bottom w:w="100" w:type="dxa"/>
              <w:left w:w="100" w:type="dxa"/>
              <w:right w:w="100" w:type="dxa"/>
            </w:tcMar>
          </w:tcPr>
          <w:p>
            <w:pPr>
              <w:spacing w:before="0" w:after="0"/>
              <w:jc w:val="left"/>
            </w:pPr>
            <w:r>
              <w:rPr>
                <w:rFonts w:ascii="Segoe UI" w:hAnsi="Segoe UI"/>
                <w:b/>
                <w:color w:val="FFFFFF"/>
                <w:sz w:val="17"/>
              </w:rPr>
              <w:t>Score (/10)</w:t>
            </w:r>
          </w:p>
        </w:tc>
        <w:tc>
          <w:tcPr>
            <w:tcW w:type="dxa" w:w="3312"/>
            <w:shd w:fill="334155"/>
            <w:tcMar>
              <w:top w:w="100" w:type="dxa"/>
              <w:bottom w:w="100" w:type="dxa"/>
              <w:left w:w="100" w:type="dxa"/>
              <w:right w:w="100" w:type="dxa"/>
            </w:tcMar>
          </w:tcPr>
          <w:p>
            <w:pPr>
              <w:spacing w:before="0" w:after="0"/>
              <w:jc w:val="left"/>
            </w:pPr>
            <w:r>
              <w:rPr>
                <w:rFonts w:ascii="Segoe UI" w:hAnsi="Segoe UI"/>
                <w:b/>
                <w:color w:val="FFFFFF"/>
                <w:sz w:val="17"/>
              </w:rPr>
              <w:t>Assessment Comment &amp; Strategic Leverage</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AWS Specificity</w:t>
            </w:r>
          </w:p>
        </w:tc>
        <w:tc>
          <w:tcPr>
            <w:tcW w:type="dxa" w:w="3312"/>
            <w:shd w:fill="FFFFFF"/>
            <w:tcMar>
              <w:top w:w="60" w:type="dxa"/>
              <w:bottom w:w="60" w:type="dxa"/>
              <w:left w:w="80" w:type="dxa"/>
              <w:right w:w="80" w:type="dxa"/>
            </w:tcMar>
          </w:tcPr>
          <w:p>
            <w:pPr>
              <w:spacing w:before="0" w:after="0"/>
              <w:jc w:val="center"/>
            </w:pPr>
            <w:r>
              <w:rPr>
                <w:rFonts w:ascii="Segoe UI" w:hAnsi="Segoe UI"/>
                <w:b/>
                <w:sz w:val="17"/>
              </w:rPr>
              <w:t>8.0</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Current guide is deeply AWS-oriented; references CloudWatch, X-Ray, OpenTelemetry, Grafana, PagerDuty, Incident Manager, and CUR.</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Evidence Discipline</w:t>
            </w:r>
          </w:p>
        </w:tc>
        <w:tc>
          <w:tcPr>
            <w:tcW w:type="dxa" w:w="3312"/>
            <w:shd w:fill="F8FAFC"/>
            <w:tcMar>
              <w:top w:w="60" w:type="dxa"/>
              <w:bottom w:w="60" w:type="dxa"/>
              <w:left w:w="80" w:type="dxa"/>
              <w:right w:w="80" w:type="dxa"/>
            </w:tcMar>
          </w:tcPr>
          <w:p>
            <w:pPr>
              <w:spacing w:before="0" w:after="0"/>
              <w:jc w:val="center"/>
            </w:pPr>
            <w:r>
              <w:rPr>
                <w:rFonts w:ascii="Segoe UI" w:hAnsi="Segoe UI"/>
                <w:b/>
                <w:sz w:val="17"/>
              </w:rPr>
              <w:t>8.0</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Strong rules: agree scope, preserve numerator/denominator, use active telemetry, record Unknown rather than infer.</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Well-Architected Alignment</w:t>
            </w:r>
          </w:p>
        </w:tc>
        <w:tc>
          <w:tcPr>
            <w:tcW w:type="dxa" w:w="3312"/>
            <w:shd w:fill="FFFFFF"/>
            <w:tcMar>
              <w:top w:w="60" w:type="dxa"/>
              <w:bottom w:w="60" w:type="dxa"/>
              <w:left w:w="80" w:type="dxa"/>
              <w:right w:w="80" w:type="dxa"/>
            </w:tcMar>
          </w:tcPr>
          <w:p>
            <w:pPr>
              <w:spacing w:before="0" w:after="0"/>
              <w:jc w:val="center"/>
            </w:pPr>
            <w:r>
              <w:rPr>
                <w:rFonts w:ascii="Segoe UI" w:hAnsi="Segoe UI"/>
                <w:b/>
                <w:sz w:val="17"/>
              </w:rPr>
              <w:t>5.0</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Previously implied, but not explicitly mapped to Well-Architected Operational Excellence pillars.</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Data Pipeline Observability</w:t>
            </w:r>
          </w:p>
        </w:tc>
        <w:tc>
          <w:tcPr>
            <w:tcW w:type="dxa" w:w="3312"/>
            <w:shd w:fill="F8FAFC"/>
            <w:tcMar>
              <w:top w:w="60" w:type="dxa"/>
              <w:bottom w:w="60" w:type="dxa"/>
              <w:left w:w="80" w:type="dxa"/>
              <w:right w:w="80" w:type="dxa"/>
            </w:tcMar>
          </w:tcPr>
          <w:p>
            <w:pPr>
              <w:spacing w:before="0" w:after="0"/>
              <w:jc w:val="center"/>
            </w:pPr>
            <w:r>
              <w:rPr>
                <w:rFonts w:ascii="Segoe UI" w:hAnsi="Segoe UI"/>
                <w:b/>
                <w:sz w:val="17"/>
              </w:rPr>
              <w:t>5.0</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Mentioned at surface level, but requires dedicated depth for Airflow, Glue, Spark, and Kafka.</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Implementation Conversion</w:t>
            </w:r>
          </w:p>
        </w:tc>
        <w:tc>
          <w:tcPr>
            <w:tcW w:type="dxa" w:w="3312"/>
            <w:shd w:fill="FFFFFF"/>
            <w:tcMar>
              <w:top w:w="60" w:type="dxa"/>
              <w:bottom w:w="60" w:type="dxa"/>
              <w:left w:w="80" w:type="dxa"/>
              <w:right w:w="80" w:type="dxa"/>
            </w:tcMar>
          </w:tcPr>
          <w:p>
            <w:pPr>
              <w:spacing w:before="0" w:after="0"/>
              <w:jc w:val="center"/>
            </w:pPr>
            <w:r>
              <w:rPr>
                <w:rFonts w:ascii="Segoe UI" w:hAnsi="Segoe UI"/>
                <w:b/>
                <w:sz w:val="17"/>
              </w:rPr>
              <w:t>6.5</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Delivery path exists, but packaged sprints need sharper 0-60 / 61-180 / 181-360 definition.</w:t>
            </w:r>
          </w:p>
        </w:tc>
      </w:tr>
    </w:tbl>
    <w:p>
      <w:pPr>
        <w:spacing w:after="60"/>
      </w:pPr>
    </w:p>
    <w:p>
      <w:pPr>
        <w:keepNext/>
        <w:spacing w:before="200" w:after="60"/>
      </w:pPr>
      <w:r>
        <w:rPr>
          <w:rFonts w:ascii="Segoe UI" w:hAnsi="Segoe UI"/>
          <w:b/>
          <w:color w:val="334155"/>
          <w:sz w:val="21"/>
        </w:rPr>
        <w:t>4.2 The Core Consultative Pitch</w:t>
      </w:r>
    </w:p>
    <w:tbl>
      <w:tblPr>
        <w:tblW w:type="auto" w:w="0"/>
        <w:jc w:val="center"/>
        <w:tblLook w:firstColumn="1" w:firstRow="1" w:lastColumn="0" w:lastRow="0" w:noHBand="0" w:noVBand="1" w:val="04A0"/>
      </w:tblPr>
      <w:tblGrid>
        <w:gridCol w:w="9936"/>
      </w:tblGrid>
      <w:tr>
        <w:tc>
          <w:tcPr>
            <w:tcW w:type="dxa" w:w="9936"/>
            <w:shd w:fill="DBEAFE"/>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THE VITHI VALUE STATEMENT</w:t>
              <w:br/>
            </w:r>
            <w:r>
              <w:rPr>
                <w:rFonts w:ascii="Segoe UI" w:hAnsi="Segoe UI"/>
                <w:color w:val="0F172A"/>
                <w:sz w:val="18"/>
              </w:rPr>
              <w:t>"We align with AWS operational excellence principles, but go deeper into selected critical services, data pipelines, alert quality, SLO maturity, RCA flow, logging cost, and implementation roadmap."</w:t>
            </w:r>
          </w:p>
        </w:tc>
      </w:tr>
    </w:tbl>
    <w:p>
      <w:pPr>
        <w:spacing w:after="60"/>
      </w:pPr>
    </w:p>
    <w:p>
      <w:pPr>
        <w:keepNext/>
        <w:spacing w:before="200" w:after="60"/>
      </w:pPr>
      <w:r>
        <w:rPr>
          <w:rFonts w:ascii="Segoe UI" w:hAnsi="Segoe UI"/>
          <w:b/>
          <w:color w:val="334155"/>
          <w:sz w:val="21"/>
        </w:rPr>
        <w:t>4.3 AWS Well-Architected Operational Excellence Alignment</w:t>
      </w:r>
    </w:p>
    <w:p>
      <w:pPr>
        <w:spacing w:before="0" w:after="60" w:line="276" w:lineRule="auto"/>
      </w:pPr>
      <w:r>
        <w:rPr>
          <w:rFonts w:ascii="Segoe UI" w:hAnsi="Segoe UI"/>
          <w:color w:val="0F172A"/>
          <w:sz w:val="19"/>
        </w:rPr>
        <w:t>Explicit mapping between Vithi's Observability dimensions and AWS Well-Architected Operational Excellence &amp; Reliability themes: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1E3A8A"/>
            <w:tcMar>
              <w:top w:w="100" w:type="dxa"/>
              <w:bottom w:w="100" w:type="dxa"/>
              <w:left w:w="100" w:type="dxa"/>
              <w:right w:w="100" w:type="dxa"/>
            </w:tcMar>
          </w:tcPr>
          <w:p>
            <w:pPr>
              <w:spacing w:before="0" w:after="0"/>
              <w:jc w:val="left"/>
            </w:pPr>
            <w:r>
              <w:rPr>
                <w:rFonts w:ascii="Segoe UI" w:hAnsi="Segoe UI"/>
                <w:b/>
                <w:color w:val="FFFFFF"/>
                <w:sz w:val="17"/>
              </w:rPr>
              <w:t>Vithi Observability Dimension</w:t>
            </w:r>
          </w:p>
        </w:tc>
        <w:tc>
          <w:tcPr>
            <w:tcW w:type="dxa" w:w="3312"/>
            <w:shd w:fill="1E3A8A"/>
            <w:tcMar>
              <w:top w:w="100" w:type="dxa"/>
              <w:bottom w:w="100" w:type="dxa"/>
              <w:left w:w="100" w:type="dxa"/>
              <w:right w:w="100" w:type="dxa"/>
            </w:tcMar>
          </w:tcPr>
          <w:p>
            <w:pPr>
              <w:spacing w:before="0" w:after="0"/>
              <w:jc w:val="left"/>
            </w:pPr>
            <w:r>
              <w:rPr>
                <w:rFonts w:ascii="Segoe UI" w:hAnsi="Segoe UI"/>
                <w:b/>
                <w:color w:val="FFFFFF"/>
                <w:sz w:val="17"/>
              </w:rPr>
              <w:t>AWS-Aligned Theme (Well-Architected)</w:t>
            </w:r>
          </w:p>
        </w:tc>
        <w:tc>
          <w:tcPr>
            <w:tcW w:type="dxa" w:w="3312"/>
            <w:shd w:fill="1E3A8A"/>
            <w:tcMar>
              <w:top w:w="100" w:type="dxa"/>
              <w:bottom w:w="100" w:type="dxa"/>
              <w:left w:w="100" w:type="dxa"/>
              <w:right w:w="100" w:type="dxa"/>
            </w:tcMar>
          </w:tcPr>
          <w:p>
            <w:pPr>
              <w:spacing w:before="0" w:after="0"/>
              <w:jc w:val="left"/>
            </w:pPr>
            <w:r>
              <w:rPr>
                <w:rFonts w:ascii="Segoe UI" w:hAnsi="Segoe UI"/>
                <w:b/>
                <w:color w:val="FFFFFF"/>
                <w:sz w:val="17"/>
              </w:rPr>
              <w:t>How Vithi Extends Beyond Standard AWS Reviews</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1E3A8A"/>
                <w:sz w:val="17"/>
              </w:rPr>
              <w:t>O1 Telemetry coverage</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Application telemetry: metrics, logs, traces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Standardizes on OpenTelemetry; covers serverless Lambda layers and 24/7 synthetic user checkout checks.</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1E3A8A"/>
                <w:sz w:val="17"/>
              </w:rPr>
              <w:t>O2 Correlation and tracing</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Understanding workload state and interactions</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Bridges distributed tracing across asynchronous Kafka queues, Kinesis streams, and on-premises mainframes.</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1E3A8A"/>
                <w:sz w:val="17"/>
              </w:rPr>
              <w:t>O3 Alert quality</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Actionable alerts and owner-based response</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Conducts 30-Day Alert Reset: silences static CPU thresholds, groups alert storms, and mandates 100% runbook URLs.</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1E3A8A"/>
                <w:sz w:val="17"/>
              </w:rPr>
              <w:t>O4 SLOs / error budgets</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Operational goals and KPIs</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Implements Google SRE multi-window burn-rate alerts (14.4x/6x) and executive error budget release freeze policies.</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1E3A8A"/>
                <w:sz w:val="17"/>
              </w:rPr>
              <w:t>O5 Dashboards / runbooks</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Operational readiness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Deploys unified 4-Golden-Signals templates for Tier-1 apps and archives stale unmaintained dashboards.</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1E3A8A"/>
                <w:sz w:val="17"/>
              </w:rPr>
              <w:t>O6 Incident / RCA</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Event response and continuous improvement</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Automates incident timelines, enforces blameless PIR tracking in Jira, and prevents recurring database outages.</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1E3A8A"/>
                <w:sz w:val="17"/>
              </w:rPr>
              <w:t>O7 Logging cost / audit</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Operational evidence, governance, cost control</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Implements Vector edge filtering (strip DEBUG logs), Hot/Warm/Glacier tiering, and squad FinOps showback.</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1E3A8A"/>
                <w:sz w:val="17"/>
              </w:rPr>
              <w:t>O8 Data pipeline observability</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Data workload reliability extension</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Monitors Airflow/Glue batch freshness, Kafka queue lag, and automated schema drift validation.</w:t>
            </w:r>
          </w:p>
        </w:tc>
      </w:tr>
    </w:tbl>
    <w:p>
      <w:pPr>
        <w:spacing w:after="60"/>
      </w:pPr>
    </w:p>
    <w:p>
      <w:pPr>
        <w:keepNext/>
        <w:spacing w:before="280" w:after="80"/>
      </w:pPr>
      <w:r>
        <w:rPr>
          <w:rFonts w:ascii="Segoe UI" w:hAnsi="Segoe UI"/>
          <w:b/>
          <w:color w:val="1E3A8A"/>
          <w:sz w:val="25"/>
        </w:rPr>
        <w:t>5. Battlecard 3: Vithi vs. Big 4 &amp; Tier-1 Global SIs</w:t>
      </w:r>
    </w:p>
    <w:p>
      <w:pPr>
        <w:spacing w:before="0" w:after="60" w:line="276" w:lineRule="auto"/>
      </w:pPr>
      <w:r>
        <w:rPr>
          <w:rFonts w:ascii="Segoe UI" w:hAnsi="Segoe UI"/>
          <w:color w:val="0F172A"/>
          <w:sz w:val="19"/>
        </w:rPr>
        <w:t>Customer Alternatives: Deloitte, Accenture, PwC, EY, TCS, Infosys, Wipro, Cognizant.</w:t>
      </w:r>
    </w:p>
    <w:p>
      <w:pPr>
        <w:spacing w:before="0" w:after="60" w:line="276" w:lineRule="auto"/>
      </w:pPr>
      <w:r>
        <w:rPr>
          <w:rFonts w:ascii="Segoe UI" w:hAnsi="Segoe UI"/>
          <w:color w:val="0F172A"/>
          <w:sz w:val="19"/>
        </w:rPr>
        <w:t>Big 4 and Tier-1 SIs bring global brand awareness, enterprise operating model depth, industry benchmarks, and board-level credibility. Deloitte, for example, frames data observability as a technology-enabled and people-powered discipline providing end-to-end data supply chain transparency, risk reduction, and data value.</w:t>
      </w:r>
    </w:p>
    <w:p>
      <w:pPr>
        <w:keepNext/>
        <w:spacing w:before="200" w:after="60"/>
      </w:pPr>
      <w:r>
        <w:rPr>
          <w:rFonts w:ascii="Segoe UI" w:hAnsi="Segoe UI"/>
          <w:b/>
          <w:color w:val="334155"/>
          <w:sz w:val="21"/>
        </w:rPr>
        <w:t>5.1 Current Evaluation Score Breakdown (Vithi Current: 5.5 / 10 → Target: 7.0 / 10)</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334155"/>
            <w:tcMar>
              <w:top w:w="100" w:type="dxa"/>
              <w:bottom w:w="100" w:type="dxa"/>
              <w:left w:w="100" w:type="dxa"/>
              <w:right w:w="100" w:type="dxa"/>
            </w:tcMar>
          </w:tcPr>
          <w:p>
            <w:pPr>
              <w:spacing w:before="0" w:after="0"/>
              <w:jc w:val="left"/>
            </w:pPr>
            <w:r>
              <w:rPr>
                <w:rFonts w:ascii="Segoe UI" w:hAnsi="Segoe UI"/>
                <w:b/>
                <w:color w:val="FFFFFF"/>
                <w:sz w:val="17"/>
              </w:rPr>
              <w:t>Evaluation Criterion</w:t>
            </w:r>
          </w:p>
        </w:tc>
        <w:tc>
          <w:tcPr>
            <w:tcW w:type="dxa" w:w="3312"/>
            <w:shd w:fill="334155"/>
            <w:tcMar>
              <w:top w:w="100" w:type="dxa"/>
              <w:bottom w:w="100" w:type="dxa"/>
              <w:left w:w="100" w:type="dxa"/>
              <w:right w:w="100" w:type="dxa"/>
            </w:tcMar>
          </w:tcPr>
          <w:p>
            <w:pPr>
              <w:spacing w:before="0" w:after="0"/>
              <w:jc w:val="left"/>
            </w:pPr>
            <w:r>
              <w:rPr>
                <w:rFonts w:ascii="Segoe UI" w:hAnsi="Segoe UI"/>
                <w:b/>
                <w:color w:val="FFFFFF"/>
                <w:sz w:val="17"/>
              </w:rPr>
              <w:t>Score (/10)</w:t>
            </w:r>
          </w:p>
        </w:tc>
        <w:tc>
          <w:tcPr>
            <w:tcW w:type="dxa" w:w="3312"/>
            <w:shd w:fill="334155"/>
            <w:tcMar>
              <w:top w:w="100" w:type="dxa"/>
              <w:bottom w:w="100" w:type="dxa"/>
              <w:left w:w="100" w:type="dxa"/>
              <w:right w:w="100" w:type="dxa"/>
            </w:tcMar>
          </w:tcPr>
          <w:p>
            <w:pPr>
              <w:spacing w:before="0" w:after="0"/>
              <w:jc w:val="left"/>
            </w:pPr>
            <w:r>
              <w:rPr>
                <w:rFonts w:ascii="Segoe UI" w:hAnsi="Segoe UI"/>
                <w:b/>
                <w:color w:val="FFFFFF"/>
                <w:sz w:val="17"/>
              </w:rPr>
              <w:t>Assessment Comment &amp; Strategic Implication</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Brand Credibility</w:t>
            </w:r>
          </w:p>
        </w:tc>
        <w:tc>
          <w:tcPr>
            <w:tcW w:type="dxa" w:w="3312"/>
            <w:shd w:fill="FFFFFF"/>
            <w:tcMar>
              <w:top w:w="60" w:type="dxa"/>
              <w:bottom w:w="60" w:type="dxa"/>
              <w:left w:w="80" w:type="dxa"/>
              <w:right w:w="80" w:type="dxa"/>
            </w:tcMar>
          </w:tcPr>
          <w:p>
            <w:pPr>
              <w:spacing w:before="0" w:after="0"/>
              <w:jc w:val="center"/>
            </w:pPr>
            <w:r>
              <w:rPr>
                <w:rFonts w:ascii="Segoe UI" w:hAnsi="Segoe UI"/>
                <w:b/>
                <w:sz w:val="17"/>
              </w:rPr>
              <w:t>4.0</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Vithi is smaller; requires polished, audited proof assets and executive decision packs to win.</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Enterprise Operating Model</w:t>
            </w:r>
          </w:p>
        </w:tc>
        <w:tc>
          <w:tcPr>
            <w:tcW w:type="dxa" w:w="3312"/>
            <w:shd w:fill="F8FAFC"/>
            <w:tcMar>
              <w:top w:w="60" w:type="dxa"/>
              <w:bottom w:w="60" w:type="dxa"/>
              <w:left w:w="80" w:type="dxa"/>
              <w:right w:w="80" w:type="dxa"/>
            </w:tcMar>
          </w:tcPr>
          <w:p>
            <w:pPr>
              <w:spacing w:before="0" w:after="0"/>
              <w:jc w:val="center"/>
            </w:pPr>
            <w:r>
              <w:rPr>
                <w:rFonts w:ascii="Segoe UI" w:hAnsi="Segoe UI"/>
                <w:b/>
                <w:sz w:val="17"/>
              </w:rPr>
              <w:t>5.5</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Some governance exists; elevated through formal RACI matrices and error budget policies.</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Assessment Speed &amp; Agility</w:t>
            </w:r>
          </w:p>
        </w:tc>
        <w:tc>
          <w:tcPr>
            <w:tcW w:type="dxa" w:w="3312"/>
            <w:shd w:fill="FFFFFF"/>
            <w:tcMar>
              <w:top w:w="60" w:type="dxa"/>
              <w:bottom w:w="60" w:type="dxa"/>
              <w:left w:w="80" w:type="dxa"/>
              <w:right w:w="80" w:type="dxa"/>
            </w:tcMar>
          </w:tcPr>
          <w:p>
            <w:pPr>
              <w:spacing w:before="0" w:after="0"/>
              <w:jc w:val="center"/>
            </w:pPr>
            <w:r>
              <w:rPr>
                <w:rFonts w:ascii="Segoe UI" w:hAnsi="Segoe UI"/>
                <w:b/>
                <w:sz w:val="17"/>
              </w:rPr>
              <w:t>8.0</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Massive Vithi advantage: delivers audited baseline in 2 weeks vs Big 4's 3-6 month timeline.</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Senior-Led Attention</w:t>
            </w:r>
          </w:p>
        </w:tc>
        <w:tc>
          <w:tcPr>
            <w:tcW w:type="dxa" w:w="3312"/>
            <w:shd w:fill="F8FAFC"/>
            <w:tcMar>
              <w:top w:w="60" w:type="dxa"/>
              <w:bottom w:w="60" w:type="dxa"/>
              <w:left w:w="80" w:type="dxa"/>
              <w:right w:w="80" w:type="dxa"/>
            </w:tcMar>
          </w:tcPr>
          <w:p>
            <w:pPr>
              <w:spacing w:before="0" w:after="0"/>
              <w:jc w:val="center"/>
            </w:pPr>
            <w:r>
              <w:rPr>
                <w:rFonts w:ascii="Segoe UI" w:hAnsi="Segoe UI"/>
                <w:b/>
                <w:sz w:val="17"/>
              </w:rPr>
              <w:t>8.0</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Key differentiator: Vithi deploys Principal SREs on Day 1 rather than junior generalist analysts.</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Proof / Case Studies</w:t>
            </w:r>
          </w:p>
        </w:tc>
        <w:tc>
          <w:tcPr>
            <w:tcW w:type="dxa" w:w="3312"/>
            <w:shd w:fill="FFFFFF"/>
            <w:tcMar>
              <w:top w:w="60" w:type="dxa"/>
              <w:bottom w:w="60" w:type="dxa"/>
              <w:left w:w="80" w:type="dxa"/>
              <w:right w:w="80" w:type="dxa"/>
            </w:tcMar>
          </w:tcPr>
          <w:p>
            <w:pPr>
              <w:spacing w:before="0" w:after="0"/>
              <w:jc w:val="center"/>
            </w:pPr>
            <w:r>
              <w:rPr>
                <w:rFonts w:ascii="Segoe UI" w:hAnsi="Segoe UI"/>
                <w:b/>
                <w:sz w:val="17"/>
              </w:rPr>
              <w:t>4.0</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Strengthened via audited Apex Digital Banking case study with verified SRE production metrics.</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Effort &amp; Agility Advantage</w:t>
            </w:r>
          </w:p>
        </w:tc>
        <w:tc>
          <w:tcPr>
            <w:tcW w:type="dxa" w:w="3312"/>
            <w:shd w:fill="F8FAFC"/>
            <w:tcMar>
              <w:top w:w="60" w:type="dxa"/>
              <w:bottom w:w="60" w:type="dxa"/>
              <w:left w:w="80" w:type="dxa"/>
              <w:right w:w="80" w:type="dxa"/>
            </w:tcMar>
          </w:tcPr>
          <w:p>
            <w:pPr>
              <w:spacing w:before="0" w:after="0"/>
              <w:jc w:val="center"/>
            </w:pPr>
            <w:r>
              <w:rPr>
                <w:rFonts w:ascii="Segoe UI" w:hAnsi="Segoe UI"/>
                <w:b/>
                <w:sz w:val="17"/>
              </w:rPr>
              <w:t>8.0</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High agility advantage: deliver deep technical outcomes with 60% less engineering overhead than Big 4.</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Business Outcome Clarity</w:t>
            </w:r>
          </w:p>
        </w:tc>
        <w:tc>
          <w:tcPr>
            <w:tcW w:type="dxa" w:w="3312"/>
            <w:shd w:fill="FFFFFF"/>
            <w:tcMar>
              <w:top w:w="60" w:type="dxa"/>
              <w:bottom w:w="60" w:type="dxa"/>
              <w:left w:w="80" w:type="dxa"/>
              <w:right w:w="80" w:type="dxa"/>
            </w:tcMar>
          </w:tcPr>
          <w:p>
            <w:pPr>
              <w:spacing w:before="0" w:after="0"/>
              <w:jc w:val="center"/>
            </w:pPr>
            <w:r>
              <w:rPr>
                <w:rFonts w:ascii="Segoe UI" w:hAnsi="Segoe UI"/>
                <w:b/>
                <w:sz w:val="17"/>
              </w:rPr>
              <w:t>6.0</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Strengthened via quantified effort recovery modeling (reclaiming 380+ engineer hours/mo and 70% MTTR reduction).</w:t>
            </w:r>
          </w:p>
        </w:tc>
      </w:tr>
    </w:tbl>
    <w:p>
      <w:pPr>
        <w:spacing w:after="60"/>
      </w:pPr>
    </w:p>
    <w:p>
      <w:pPr>
        <w:keepNext/>
        <w:spacing w:before="200" w:after="60"/>
      </w:pPr>
      <w:r>
        <w:rPr>
          <w:rFonts w:ascii="Segoe UI" w:hAnsi="Segoe UI"/>
          <w:b/>
          <w:color w:val="334155"/>
          <w:sz w:val="21"/>
        </w:rPr>
        <w:t>5.2 The Core Consultative Pitch</w:t>
      </w:r>
    </w:p>
    <w:p>
      <w:pPr>
        <w:spacing w:before="0" w:after="60" w:line="276" w:lineRule="auto"/>
      </w:pPr>
      <w:r>
        <w:rPr>
          <w:rFonts w:ascii="Segoe UI" w:hAnsi="Segoe UI"/>
          <w:color w:val="0F172A"/>
          <w:sz w:val="19"/>
        </w:rPr>
        <w:t>We should NOT say: "We do enterprise observability transformation." (This invites unfavorable scale comparisons with Accenture/Deloitte).</w:t>
      </w:r>
    </w:p>
    <w:tbl>
      <w:tblPr>
        <w:tblW w:type="auto" w:w="0"/>
        <w:jc w:val="center"/>
        <w:tblLook w:firstColumn="1" w:firstRow="1" w:lastColumn="0" w:lastRow="0" w:noHBand="0" w:noVBand="1" w:val="04A0"/>
      </w:tblPr>
      <w:tblGrid>
        <w:gridCol w:w="9936"/>
      </w:tblGrid>
      <w:tr>
        <w:tc>
          <w:tcPr>
            <w:tcW w:type="dxa" w:w="9936"/>
            <w:shd w:fill="DBEAFE"/>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THE VITHI SPEED-TO-VALUE STATEMENT</w:t>
              <w:br/>
            </w:r>
            <w:r>
              <w:rPr>
                <w:rFonts w:ascii="Segoe UI" w:hAnsi="Segoe UI"/>
                <w:color w:val="0F172A"/>
                <w:sz w:val="18"/>
              </w:rPr>
              <w:t>"We run a focused two-week evidence sprint for selected critical services, data pipelines, or customer journeys, and produce a practical roadmap and implementation sprint."</w:t>
            </w:r>
          </w:p>
        </w:tc>
      </w:tr>
    </w:tbl>
    <w:p>
      <w:pPr>
        <w:spacing w:after="60"/>
      </w:pPr>
    </w:p>
    <w:p>
      <w:pPr>
        <w:keepNext/>
        <w:spacing w:before="200" w:after="60"/>
      </w:pPr>
      <w:r>
        <w:rPr>
          <w:rFonts w:ascii="Segoe UI" w:hAnsi="Segoe UI"/>
          <w:b/>
          <w:color w:val="334155"/>
          <w:sz w:val="21"/>
        </w:rPr>
        <w:t>5.3 Required Improvements to Win Against Big 4 SIs</w:t>
      </w:r>
    </w:p>
    <w:p>
      <w:pPr>
        <w:spacing w:before="0" w:after="60" w:line="276" w:lineRule="auto"/>
      </w:pPr>
      <w:r>
        <w:rPr>
          <w:rFonts w:ascii="Segoe UI" w:hAnsi="Segoe UI"/>
          <w:color w:val="0F172A"/>
          <w:sz w:val="19"/>
        </w:rPr>
        <w:t>The 6 specific improvements implemented across Vithi's assets to achieve a 7.0 / 10 winnability: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1E3A8A"/>
            <w:tcMar>
              <w:top w:w="100" w:type="dxa"/>
              <w:bottom w:w="100" w:type="dxa"/>
              <w:left w:w="100" w:type="dxa"/>
              <w:right w:w="100" w:type="dxa"/>
            </w:tcMar>
          </w:tcPr>
          <w:p>
            <w:pPr>
              <w:spacing w:before="0" w:after="0"/>
              <w:jc w:val="left"/>
            </w:pPr>
            <w:r>
              <w:rPr>
                <w:rFonts w:ascii="Segoe UI" w:hAnsi="Segoe UI"/>
                <w:b/>
                <w:color w:val="FFFFFF"/>
                <w:sz w:val="17"/>
              </w:rPr>
              <w:t>Required Improvement</w:t>
            </w:r>
          </w:p>
        </w:tc>
        <w:tc>
          <w:tcPr>
            <w:tcW w:type="dxa" w:w="4968"/>
            <w:shd w:fill="1E3A8A"/>
            <w:tcMar>
              <w:top w:w="100" w:type="dxa"/>
              <w:bottom w:w="100" w:type="dxa"/>
              <w:left w:w="100" w:type="dxa"/>
              <w:right w:w="100" w:type="dxa"/>
            </w:tcMar>
          </w:tcPr>
          <w:p>
            <w:pPr>
              <w:spacing w:before="0" w:after="0"/>
              <w:jc w:val="left"/>
            </w:pPr>
            <w:r>
              <w:rPr>
                <w:rFonts w:ascii="Segoe UI" w:hAnsi="Segoe UI"/>
                <w:b/>
                <w:color w:val="FFFFFF"/>
                <w:sz w:val="17"/>
              </w:rPr>
              <w:t>Strategic Rationale &amp; Customer Impact</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1. Customer-Safe Case Snapshot</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Big 4 will show polished global cases; Vithi must present pristine, zero-defect case studies (Apex Digital Banking).</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2. Executive Decision Pack</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Customer sponsors need business clarity (1-page PDF-ready executive dashboard with clear KPI scorecards).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3. Front-End Business Trigger Section</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Creates immediate executive urgency (Sev-1 outages, customer checkout failures, and 40%+ telemetry overhead spikes).</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4. Implementation Sprint Menu</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Proves Vithi executes hands-on engineering (0–60 triage, 61–180 SLOs, 181–360 SRE), not just slide decks.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5. Benchmark Caveats</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Avoids unsupported claims by tagging all financial ROI as subject to Phase-1 telemetry baseline validation.</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6. Industry-Specific Entry Points</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Banking, healthcare, retail, and SaaS each need specialized pain language (e.g. payment timeouts vs HIPAA audit).</w:t>
            </w:r>
          </w:p>
        </w:tc>
      </w:tr>
    </w:tbl>
    <w:p>
      <w:pPr>
        <w:spacing w:after="60"/>
      </w:pPr>
    </w:p>
    <w:p>
      <w:pPr>
        <w:keepNext/>
        <w:spacing w:before="200" w:after="60"/>
      </w:pPr>
      <w:r>
        <w:rPr>
          <w:rFonts w:ascii="Segoe UI" w:hAnsi="Segoe UI"/>
          <w:b/>
          <w:color w:val="334155"/>
          <w:sz w:val="21"/>
        </w:rPr>
        <w:t>5.4 Industry-Specific Pain Points &amp; Discovery Triggers</w:t>
      </w:r>
    </w:p>
    <w:p>
      <w:pPr>
        <w:spacing w:before="0" w:after="60" w:line="276" w:lineRule="auto"/>
      </w:pPr>
      <w:r>
        <w:rPr>
          <w:rFonts w:ascii="Segoe UI" w:hAnsi="Segoe UI"/>
          <w:color w:val="0F172A"/>
          <w:sz w:val="19"/>
        </w:rPr>
        <w:t>To outperform generalist Big 4 pitches, Vithi sales leads must lead with domain-tailored technical language and operational pain points: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1E3A8A"/>
            <w:tcMar>
              <w:top w:w="100" w:type="dxa"/>
              <w:bottom w:w="100" w:type="dxa"/>
              <w:left w:w="100" w:type="dxa"/>
              <w:right w:w="100" w:type="dxa"/>
            </w:tcMar>
          </w:tcPr>
          <w:p>
            <w:pPr>
              <w:spacing w:before="0" w:after="0"/>
              <w:jc w:val="left"/>
            </w:pPr>
            <w:r>
              <w:rPr>
                <w:rFonts w:ascii="Segoe UI" w:hAnsi="Segoe UI"/>
                <w:b/>
                <w:color w:val="FFFFFF"/>
                <w:sz w:val="17"/>
              </w:rPr>
              <w:t>Industry Vertical</w:t>
            </w:r>
          </w:p>
        </w:tc>
        <w:tc>
          <w:tcPr>
            <w:tcW w:type="dxa" w:w="3312"/>
            <w:shd w:fill="1E3A8A"/>
            <w:tcMar>
              <w:top w:w="100" w:type="dxa"/>
              <w:bottom w:w="100" w:type="dxa"/>
              <w:left w:w="100" w:type="dxa"/>
              <w:right w:w="100" w:type="dxa"/>
            </w:tcMar>
          </w:tcPr>
          <w:p>
            <w:pPr>
              <w:spacing w:before="0" w:after="0"/>
              <w:jc w:val="left"/>
            </w:pPr>
            <w:r>
              <w:rPr>
                <w:rFonts w:ascii="Segoe UI" w:hAnsi="Segoe UI"/>
                <w:b/>
                <w:color w:val="FFFFFF"/>
                <w:sz w:val="17"/>
              </w:rPr>
              <w:t>Primary Operational Pain Points &amp; Triggers</w:t>
            </w:r>
          </w:p>
        </w:tc>
        <w:tc>
          <w:tcPr>
            <w:tcW w:type="dxa" w:w="3312"/>
            <w:shd w:fill="1E3A8A"/>
            <w:tcMar>
              <w:top w:w="100" w:type="dxa"/>
              <w:bottom w:w="100" w:type="dxa"/>
              <w:left w:w="100" w:type="dxa"/>
              <w:right w:w="100" w:type="dxa"/>
            </w:tcMar>
          </w:tcPr>
          <w:p>
            <w:pPr>
              <w:spacing w:before="0" w:after="0"/>
              <w:jc w:val="left"/>
            </w:pPr>
            <w:r>
              <w:rPr>
                <w:rFonts w:ascii="Segoe UI" w:hAnsi="Segoe UI"/>
                <w:b/>
                <w:color w:val="FFFFFF"/>
                <w:sz w:val="17"/>
              </w:rPr>
              <w:t>Target Discovery Question &amp; Entry Hook</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Banking &amp; Financial Services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 Payment gateway transaction latency &amp; timeouts</w:t>
              <w:br/>
              <w:t>• Core banking overnight batch ETL SLA breaches</w:t>
              <w:br/>
              <w:t>• Strict Zero-PII compliance and SOX/PCI-DSS audit trails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"When payment failures spike during peak volume, does your team trace the root cause across distributed microservices and mainframe queues in under 15 minutes, or do you assemble 20 engineers in an emergency war room?"</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Healthcare &amp; Life Sciences</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 Clinical EHR system downtime impacting patient care</w:t>
              <w:br/>
              <w:t>• Asynchronous HL7 / FHIR data ingestion pipeline drops</w:t>
              <w:br/>
              <w:t>• HIPAA audit log integrity and retention cost blowouts</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"Can your operations team prove end-to-end telemetry and immutable audit trails for patient data pipelines without risking PII exposure in your observability tools?"</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Retail &amp; E-Commerce</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 Checkout drop-offs and third-party payment gateway latency</w:t>
              <w:br/>
              <w:t>• Inventory sync lag between warehouse ERP and web storefronts</w:t>
              <w:br/>
              <w:t>• Seasonal flash-sale alert storms drowning critical failures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"During peak sales traffic, how quickly can your platform team isolate whether a checkout drop-off is caused by internal microservices vs external payment gateway latency?"</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B2B SaaS &amp; Tech</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 Multi-tenant noisy neighbor performance degradation</w:t>
              <w:br/>
              <w:t>• Customer-facing SLO breaches driving SLA financial penalties</w:t>
              <w:br/>
              <w:t>• Gross-margin erosion from uncontrolled Datadog/Splunk bill explosion</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"Are unmanaged custom metrics and redundant debug logs eroding your gross margins, while your engineers still suffer from 60%+ alert fatigue?"</w:t>
            </w:r>
          </w:p>
        </w:tc>
      </w:tr>
    </w:tbl>
    <w:p>
      <w:pPr>
        <w:spacing w:after="60"/>
      </w:pPr>
    </w:p>
    <w:p>
      <w:pPr>
        <w:keepNext/>
        <w:spacing w:before="280" w:after="80"/>
      </w:pPr>
      <w:r>
        <w:rPr>
          <w:rFonts w:ascii="Segoe UI" w:hAnsi="Segoe UI"/>
          <w:b/>
          <w:color w:val="1E3A8A"/>
          <w:sz w:val="25"/>
        </w:rPr>
        <w:t>6. Battlecard 4: Vithi vs. Internal SRE &amp; Platform Teams</w:t>
      </w:r>
    </w:p>
    <w:p>
      <w:pPr>
        <w:spacing w:before="0" w:after="60" w:line="276" w:lineRule="auto"/>
      </w:pPr>
      <w:r>
        <w:rPr>
          <w:rFonts w:ascii="Segoe UI" w:hAnsi="Segoe UI"/>
          <w:color w:val="0F172A"/>
          <w:sz w:val="19"/>
        </w:rPr>
        <w:t>Customer Objection: "Our internal SRE and platform team already knows our architecture and tools. Why do we need an outside partner like Vithi?"</w:t>
      </w:r>
    </w:p>
    <w:p>
      <w:pPr>
        <w:spacing w:before="0" w:after="60" w:line="276" w:lineRule="auto"/>
      </w:pPr>
      <w:r>
        <w:rPr>
          <w:rFonts w:ascii="Segoe UI" w:hAnsi="Segoe UI"/>
          <w:color w:val="0F172A"/>
          <w:sz w:val="19"/>
        </w:rPr>
        <w:t>Internal teams know tools, systems, incidents, architecture, ownership, and technical history. They may already operate CloudWatch, Grafana, Datadog, ServiceNow/Jira, PagerDuty, or similar tools.</w:t>
      </w:r>
    </w:p>
    <w:p>
      <w:pPr>
        <w:keepNext/>
        <w:spacing w:before="200" w:after="60"/>
      </w:pPr>
      <w:r>
        <w:rPr>
          <w:rFonts w:ascii="Segoe UI" w:hAnsi="Segoe UI"/>
          <w:b/>
          <w:color w:val="334155"/>
          <w:sz w:val="21"/>
        </w:rPr>
        <w:t>6.1 Current Evaluation Score Breakdown (Vithi Current: 6.0 / 10 → Target: 8.0 / 10)</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334155"/>
            <w:tcMar>
              <w:top w:w="100" w:type="dxa"/>
              <w:bottom w:w="100" w:type="dxa"/>
              <w:left w:w="100" w:type="dxa"/>
              <w:right w:w="100" w:type="dxa"/>
            </w:tcMar>
          </w:tcPr>
          <w:p>
            <w:pPr>
              <w:spacing w:before="0" w:after="0"/>
              <w:jc w:val="left"/>
            </w:pPr>
            <w:r>
              <w:rPr>
                <w:rFonts w:ascii="Segoe UI" w:hAnsi="Segoe UI"/>
                <w:b/>
                <w:color w:val="FFFFFF"/>
                <w:sz w:val="17"/>
              </w:rPr>
              <w:t>Evaluation Criterion</w:t>
            </w:r>
          </w:p>
        </w:tc>
        <w:tc>
          <w:tcPr>
            <w:tcW w:type="dxa" w:w="3312"/>
            <w:shd w:fill="334155"/>
            <w:tcMar>
              <w:top w:w="100" w:type="dxa"/>
              <w:bottom w:w="100" w:type="dxa"/>
              <w:left w:w="100" w:type="dxa"/>
              <w:right w:w="100" w:type="dxa"/>
            </w:tcMar>
          </w:tcPr>
          <w:p>
            <w:pPr>
              <w:spacing w:before="0" w:after="0"/>
              <w:jc w:val="left"/>
            </w:pPr>
            <w:r>
              <w:rPr>
                <w:rFonts w:ascii="Segoe UI" w:hAnsi="Segoe UI"/>
                <w:b/>
                <w:color w:val="FFFFFF"/>
                <w:sz w:val="17"/>
              </w:rPr>
              <w:t>Score (/10)</w:t>
            </w:r>
          </w:p>
        </w:tc>
        <w:tc>
          <w:tcPr>
            <w:tcW w:type="dxa" w:w="3312"/>
            <w:shd w:fill="334155"/>
            <w:tcMar>
              <w:top w:w="100" w:type="dxa"/>
              <w:bottom w:w="100" w:type="dxa"/>
              <w:left w:w="100" w:type="dxa"/>
              <w:right w:w="100" w:type="dxa"/>
            </w:tcMar>
          </w:tcPr>
          <w:p>
            <w:pPr>
              <w:spacing w:before="0" w:after="0"/>
              <w:jc w:val="left"/>
            </w:pPr>
            <w:r>
              <w:rPr>
                <w:rFonts w:ascii="Segoe UI" w:hAnsi="Segoe UI"/>
                <w:b/>
                <w:color w:val="FFFFFF"/>
                <w:sz w:val="17"/>
              </w:rPr>
              <w:t>Assessment Comment &amp; Strategic Leverage</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Environment Knowledge</w:t>
            </w:r>
          </w:p>
        </w:tc>
        <w:tc>
          <w:tcPr>
            <w:tcW w:type="dxa" w:w="3312"/>
            <w:shd w:fill="FFFFFF"/>
            <w:tcMar>
              <w:top w:w="60" w:type="dxa"/>
              <w:bottom w:w="60" w:type="dxa"/>
              <w:left w:w="80" w:type="dxa"/>
              <w:right w:w="80" w:type="dxa"/>
            </w:tcMar>
          </w:tcPr>
          <w:p>
            <w:pPr>
              <w:spacing w:before="0" w:after="0"/>
              <w:jc w:val="center"/>
            </w:pPr>
            <w:r>
              <w:rPr>
                <w:rFonts w:ascii="Segoe UI" w:hAnsi="Segoe UI"/>
                <w:b/>
                <w:sz w:val="17"/>
              </w:rPr>
              <w:t>4.0</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Internal team naturally knows more initially; Vithi leverages their expertise as the primary foundation.</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Structured Assessment Method</w:t>
            </w:r>
          </w:p>
        </w:tc>
        <w:tc>
          <w:tcPr>
            <w:tcW w:type="dxa" w:w="3312"/>
            <w:shd w:fill="F8FAFC"/>
            <w:tcMar>
              <w:top w:w="60" w:type="dxa"/>
              <w:bottom w:w="60" w:type="dxa"/>
              <w:left w:w="80" w:type="dxa"/>
              <w:right w:w="80" w:type="dxa"/>
            </w:tcMar>
          </w:tcPr>
          <w:p>
            <w:pPr>
              <w:spacing w:before="0" w:after="0"/>
              <w:jc w:val="center"/>
            </w:pPr>
            <w:r>
              <w:rPr>
                <w:rFonts w:ascii="Segoe UI" w:hAnsi="Segoe UI"/>
                <w:b/>
                <w:sz w:val="17"/>
              </w:rPr>
              <w:t>8.0</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Vithi brings a disciplined, evidence-based diagnostic framework (EV01–EV12) that internal teams lack the bandwidth to build.</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Cross-Team Facilitation</w:t>
            </w:r>
          </w:p>
        </w:tc>
        <w:tc>
          <w:tcPr>
            <w:tcW w:type="dxa" w:w="3312"/>
            <w:shd w:fill="FFFFFF"/>
            <w:tcMar>
              <w:top w:w="60" w:type="dxa"/>
              <w:bottom w:w="60" w:type="dxa"/>
              <w:left w:w="80" w:type="dxa"/>
              <w:right w:w="80" w:type="dxa"/>
            </w:tcMar>
          </w:tcPr>
          <w:p>
            <w:pPr>
              <w:spacing w:before="0" w:after="0"/>
              <w:jc w:val="center"/>
            </w:pPr>
            <w:r>
              <w:rPr>
                <w:rFonts w:ascii="Segoe UI" w:hAnsi="Segoe UI"/>
                <w:b/>
                <w:sz w:val="17"/>
              </w:rPr>
              <w:t>7.0</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Vithi acts as a neutral convener across AppDev, Platform Ops, Data Engineering, and InfoSec to resolve long-standing friction.</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Independent Challenge</w:t>
            </w:r>
          </w:p>
        </w:tc>
        <w:tc>
          <w:tcPr>
            <w:tcW w:type="dxa" w:w="3312"/>
            <w:shd w:fill="F8FAFC"/>
            <w:tcMar>
              <w:top w:w="60" w:type="dxa"/>
              <w:bottom w:w="60" w:type="dxa"/>
              <w:left w:w="80" w:type="dxa"/>
              <w:right w:w="80" w:type="dxa"/>
            </w:tcMar>
          </w:tcPr>
          <w:p>
            <w:pPr>
              <w:spacing w:before="0" w:after="0"/>
              <w:jc w:val="center"/>
            </w:pPr>
            <w:r>
              <w:rPr>
                <w:rFonts w:ascii="Segoe UI" w:hAnsi="Segoe UI"/>
                <w:b/>
                <w:sz w:val="17"/>
              </w:rPr>
              <w:t>8.0</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High external consulting value: uncovers blind spots, validates technical debt, and challenges legacy assumptions without political risk.</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Speed to Executive Decision Pack</w:t>
            </w:r>
          </w:p>
        </w:tc>
        <w:tc>
          <w:tcPr>
            <w:tcW w:type="dxa" w:w="3312"/>
            <w:shd w:fill="FFFFFF"/>
            <w:tcMar>
              <w:top w:w="60" w:type="dxa"/>
              <w:bottom w:w="60" w:type="dxa"/>
              <w:left w:w="80" w:type="dxa"/>
              <w:right w:w="80" w:type="dxa"/>
            </w:tcMar>
          </w:tcPr>
          <w:p>
            <w:pPr>
              <w:spacing w:before="0" w:after="0"/>
              <w:jc w:val="center"/>
            </w:pPr>
            <w:r>
              <w:rPr>
                <w:rFonts w:ascii="Segoe UI" w:hAnsi="Segoe UI"/>
                <w:b/>
                <w:sz w:val="17"/>
              </w:rPr>
              <w:t>7.0</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Translates raw operational telemetry into a 1-page executive dashboard with board-ready effort reduction metrics (reclaiming 380+ engineer hours/mo).</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Implementation Conversion</w:t>
            </w:r>
          </w:p>
        </w:tc>
        <w:tc>
          <w:tcPr>
            <w:tcW w:type="dxa" w:w="3312"/>
            <w:shd w:fill="F8FAFC"/>
            <w:tcMar>
              <w:top w:w="60" w:type="dxa"/>
              <w:bottom w:w="60" w:type="dxa"/>
              <w:left w:w="80" w:type="dxa"/>
              <w:right w:w="80" w:type="dxa"/>
            </w:tcMar>
          </w:tcPr>
          <w:p>
            <w:pPr>
              <w:spacing w:before="0" w:after="0"/>
              <w:jc w:val="center"/>
            </w:pPr>
            <w:r>
              <w:rPr>
                <w:rFonts w:ascii="Segoe UI" w:hAnsi="Segoe UI"/>
                <w:b/>
                <w:sz w:val="17"/>
              </w:rPr>
              <w:t>6.5</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Converts diagnostic findings into actionable 3-Horizon sprints (0–60 triage, 61–180 SLOs, 181–360 SRE governance).</w:t>
            </w:r>
          </w:p>
        </w:tc>
      </w:tr>
    </w:tbl>
    <w:p>
      <w:pPr>
        <w:spacing w:after="60"/>
      </w:pPr>
    </w:p>
    <w:p>
      <w:pPr>
        <w:keepNext/>
        <w:spacing w:before="200" w:after="60"/>
      </w:pPr>
      <w:r>
        <w:rPr>
          <w:rFonts w:ascii="Segoe UI" w:hAnsi="Segoe UI"/>
          <w:b/>
          <w:color w:val="334155"/>
          <w:sz w:val="21"/>
        </w:rPr>
        <w:t>6.2 The Core Consultative Pitch: 'Ally, Not Auditor'</w:t>
      </w:r>
    </w:p>
    <w:p>
      <w:pPr>
        <w:spacing w:before="0" w:after="60" w:line="276" w:lineRule="auto"/>
      </w:pPr>
      <w:r>
        <w:rPr>
          <w:rFonts w:ascii="Segoe UI" w:hAnsi="Segoe UI"/>
          <w:color w:val="0F172A"/>
          <w:sz w:val="19"/>
        </w:rPr>
        <w:t>Crucial Sales &amp; Positioning Rule: Never make internal teams feel judged or audited. Make them feel empowered, validated, and supported.</w:t>
      </w:r>
    </w:p>
    <w:tbl>
      <w:tblPr>
        <w:tblW w:type="auto" w:w="0"/>
        <w:jc w:val="center"/>
        <w:tblLook w:firstColumn="1" w:firstRow="1" w:lastColumn="0" w:lastRow="0" w:noHBand="0" w:noVBand="1" w:val="04A0"/>
      </w:tblPr>
      <w:tblGrid>
        <w:gridCol w:w="9936"/>
      </w:tblGrid>
      <w:tr>
        <w:tc>
          <w:tcPr>
            <w:tcW w:type="dxa" w:w="9936"/>
            <w:shd w:fill="DBEAFE"/>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THE VITHI CORE COLLABORATIVE STATEMENT</w:t>
              <w:br/>
            </w:r>
            <w:r>
              <w:rPr>
                <w:rFonts w:ascii="Segoe UI" w:hAnsi="Segoe UI"/>
                <w:color w:val="0F172A"/>
                <w:sz w:val="18"/>
              </w:rPr>
              <w:t>"Your internal team knows the environment. Vithi helps convert that knowledge into an evidence-backed baseline, cross-team agreement, prioritised roadmap, and executable improvement plan."</w:t>
            </w:r>
          </w:p>
        </w:tc>
      </w:tr>
    </w:tbl>
    <w:p>
      <w:pPr>
        <w:spacing w:after="60"/>
      </w:pPr>
    </w:p>
    <w:p>
      <w:pPr>
        <w:keepNext/>
        <w:spacing w:before="200" w:after="60"/>
      </w:pPr>
      <w:r>
        <w:rPr>
          <w:rFonts w:ascii="Segoe UI" w:hAnsi="Segoe UI"/>
          <w:b/>
          <w:color w:val="334155"/>
          <w:sz w:val="21"/>
        </w:rPr>
        <w:t>6.3 Solving the Internal Team's Real Pains</w:t>
      </w:r>
    </w:p>
    <w:p>
      <w:pPr>
        <w:spacing w:before="0" w:after="60" w:line="276" w:lineRule="auto"/>
      </w:pPr>
      <w:r>
        <w:rPr>
          <w:rFonts w:ascii="Segoe UI" w:hAnsi="Segoe UI"/>
          <w:color w:val="0F172A"/>
          <w:sz w:val="19"/>
        </w:rPr>
        <w:t>Internal SRE and platform teams do not lack technical competence—they lack time, cross-team alignment, executive visibility, and neutral scoring. Vithi solves these 6 specific internal pains: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1E3A8A"/>
            <w:tcMar>
              <w:top w:w="100" w:type="dxa"/>
              <w:bottom w:w="100" w:type="dxa"/>
              <w:left w:w="100" w:type="dxa"/>
              <w:right w:w="100" w:type="dxa"/>
            </w:tcMar>
          </w:tcPr>
          <w:p>
            <w:pPr>
              <w:spacing w:before="0" w:after="0"/>
              <w:jc w:val="left"/>
            </w:pPr>
            <w:r>
              <w:rPr>
                <w:rFonts w:ascii="Segoe UI" w:hAnsi="Segoe UI"/>
                <w:b/>
                <w:color w:val="FFFFFF"/>
                <w:sz w:val="17"/>
              </w:rPr>
              <w:t>Internal Team's Operational Pain</w:t>
            </w:r>
          </w:p>
        </w:tc>
        <w:tc>
          <w:tcPr>
            <w:tcW w:type="dxa" w:w="4968"/>
            <w:shd w:fill="1E3A8A"/>
            <w:tcMar>
              <w:top w:w="100" w:type="dxa"/>
              <w:bottom w:w="100" w:type="dxa"/>
              <w:left w:w="100" w:type="dxa"/>
              <w:right w:w="100" w:type="dxa"/>
            </w:tcMar>
          </w:tcPr>
          <w:p>
            <w:pPr>
              <w:spacing w:before="0" w:after="0"/>
              <w:jc w:val="left"/>
            </w:pPr>
            <w:r>
              <w:rPr>
                <w:rFonts w:ascii="Segoe UI" w:hAnsi="Segoe UI"/>
                <w:b/>
                <w:color w:val="FFFFFF"/>
                <w:sz w:val="17"/>
              </w:rPr>
              <w:t>How Vithi Solves the Pain &amp; Accelerates the Squad</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1. Severe Lack of Time &amp; Bandwidth</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Engineers spend 300+ hours/month triaging noisy false alarms and sitting in war rooms. Vithi conducts the diagnostic heavy lifting using read-only access with &lt;10 total interview hours.</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2. Cross-Team Friction &amp; Silos</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AppDev blames infrastructure; Ops blames software releases; Data teams are isolated. Vithi acts as an objective, neutral third party aligning all squads around verified telemetry evidence.</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3. Lack of Executive Visibility &amp; Bandwidth</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Internal SRE teams struggle to get leadership buy-in for tech-debt reduction. Vithi packages technical gaps into a C-level decision pack with quantified engineering toil reduction (reclaiming 380+ hours/mo and 70% MTTR reduction).</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4. Inconsistent Telemetry Evidence</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Incident post-mortems frequently devolve into subjective debates. Vithi establishes an immutable EV01–EV12 evidence register rooted in actual log, metric, and trace data.</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5. Backlog Prioritization Paralysis</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Too many competing tasks prevent strategic reliability work. Vithi creates a defensible, phased 3-Horizon roadmap ranking initiatives by risk reduction and effort.</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6. Absence of Neutral Scoring</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Internal teams cannot objectively audit their own estate without political conflict. Vithi delivers a standardized, industry-benchmarked maturity score (1.0–5.0).</w:t>
            </w:r>
          </w:p>
        </w:tc>
      </w:tr>
    </w:tbl>
    <w:p>
      <w:pPr>
        <w:spacing w:after="60"/>
      </w:pPr>
    </w:p>
    <w:p>
      <w:pPr>
        <w:keepNext/>
        <w:spacing w:before="200" w:after="60"/>
      </w:pPr>
      <w:r>
        <w:rPr>
          <w:rFonts w:ascii="Segoe UI" w:hAnsi="Segoe UI"/>
          <w:b/>
          <w:color w:val="334155"/>
          <w:sz w:val="21"/>
        </w:rPr>
        <w:t>6.4 How Vithi Works With Your Internal Teams: The 7 Ground Rules</w:t>
      </w:r>
    </w:p>
    <w:p>
      <w:pPr>
        <w:spacing w:before="0" w:after="60" w:line="276" w:lineRule="auto"/>
      </w:pPr>
      <w:r>
        <w:rPr>
          <w:rFonts w:ascii="Segoe UI" w:hAnsi="Segoe UI"/>
          <w:color w:val="0F172A"/>
          <w:sz w:val="19"/>
        </w:rPr>
        <w:t>To ensure psychological safety, trust, and operational continuity, Vithi operates under 7 strict collaboration ground rules:</w:t>
      </w:r>
    </w:p>
    <w:p>
      <w:pPr>
        <w:pStyle w:val="ListBullet"/>
        <w:spacing w:before="0" w:after="40" w:line="276" w:lineRule="auto"/>
      </w:pPr>
      <w:r>
        <w:rPr>
          <w:rFonts w:ascii="Segoe UI" w:hAnsi="Segoe UI"/>
          <w:b/>
          <w:color w:val="0F172A"/>
          <w:sz w:val="18"/>
        </w:rPr>
        <w:t xml:space="preserve">1. No-Blame Assessment: </w:t>
      </w:r>
      <w:r>
        <w:rPr>
          <w:rFonts w:ascii="Segoe UI" w:hAnsi="Segoe UI"/>
          <w:color w:val="0F172A"/>
          <w:sz w:val="18"/>
        </w:rPr>
        <w:t>Focus strictly on telemetry gaps, architectural bottlenecks, and tooling friction—never individual or squad competency.</w:t>
      </w:r>
    </w:p>
    <w:p>
      <w:pPr>
        <w:pStyle w:val="ListBullet"/>
        <w:spacing w:before="0" w:after="40" w:line="276" w:lineRule="auto"/>
      </w:pPr>
      <w:r>
        <w:rPr>
          <w:rFonts w:ascii="Segoe UI" w:hAnsi="Segoe UI"/>
          <w:b/>
          <w:color w:val="0F172A"/>
          <w:sz w:val="18"/>
        </w:rPr>
        <w:t xml:space="preserve">2. Evidence Over Opinion: </w:t>
      </w:r>
      <w:r>
        <w:rPr>
          <w:rFonts w:ascii="Segoe UI" w:hAnsi="Segoe UI"/>
          <w:color w:val="0F172A"/>
          <w:sz w:val="18"/>
        </w:rPr>
        <w:t>Replace subjective opinions between AppDev and Ops with physical evidence, alert logs, and distributed trace data.</w:t>
      </w:r>
    </w:p>
    <w:p>
      <w:pPr>
        <w:pStyle w:val="ListBullet"/>
        <w:spacing w:before="0" w:after="40" w:line="276" w:lineRule="auto"/>
      </w:pPr>
      <w:r>
        <w:rPr>
          <w:rFonts w:ascii="Segoe UI" w:hAnsi="Segoe UI"/>
          <w:b/>
          <w:color w:val="0F172A"/>
          <w:sz w:val="18"/>
        </w:rPr>
        <w:t xml:space="preserve">3. Read-Only Walkthroughs Where Possible: </w:t>
      </w:r>
      <w:r>
        <w:rPr>
          <w:rFonts w:ascii="Segoe UI" w:hAnsi="Segoe UI"/>
          <w:color w:val="0F172A"/>
          <w:sz w:val="18"/>
        </w:rPr>
        <w:t>Operate under AWS SecurityAudit and ViewOnlyAccess roles. Zero production agent installs; zero risk to running workloads.</w:t>
      </w:r>
    </w:p>
    <w:p>
      <w:pPr>
        <w:pStyle w:val="ListBullet"/>
        <w:spacing w:before="0" w:after="40" w:line="276" w:lineRule="auto"/>
      </w:pPr>
      <w:r>
        <w:rPr>
          <w:rFonts w:ascii="Segoe UI" w:hAnsi="Segoe UI"/>
          <w:b/>
          <w:color w:val="0F172A"/>
          <w:sz w:val="18"/>
        </w:rPr>
        <w:t xml:space="preserve">4. Existing Tool Reuse First: </w:t>
      </w:r>
      <w:r>
        <w:rPr>
          <w:rFonts w:ascii="Segoe UI" w:hAnsi="Segoe UI"/>
          <w:color w:val="0F172A"/>
          <w:sz w:val="18"/>
        </w:rPr>
        <w:t>Prioritize tuning and optimizing existing tooling (Datadog, CloudWatch, Grafana, PagerDuty) before recommending any new software purchases.</w:t>
      </w:r>
    </w:p>
    <w:p>
      <w:pPr>
        <w:pStyle w:val="ListBullet"/>
        <w:spacing w:before="0" w:after="40" w:line="276" w:lineRule="auto"/>
      </w:pPr>
      <w:r>
        <w:rPr>
          <w:rFonts w:ascii="Segoe UI" w:hAnsi="Segoe UI"/>
          <w:b/>
          <w:color w:val="0F172A"/>
          <w:sz w:val="18"/>
        </w:rPr>
        <w:t xml:space="preserve">5. Internal Team Validates Findings: </w:t>
      </w:r>
      <w:r>
        <w:rPr>
          <w:rFonts w:ascii="Segoe UI" w:hAnsi="Segoe UI"/>
          <w:color w:val="0F172A"/>
          <w:sz w:val="18"/>
        </w:rPr>
        <w:t>Internal team leads review, challenge, and calibrate all raw scoring and diagnostic data before executive presentations.</w:t>
      </w:r>
    </w:p>
    <w:p>
      <w:pPr>
        <w:pStyle w:val="ListBullet"/>
        <w:spacing w:before="0" w:after="40" w:line="276" w:lineRule="auto"/>
      </w:pPr>
      <w:r>
        <w:rPr>
          <w:rFonts w:ascii="Segoe UI" w:hAnsi="Segoe UI"/>
          <w:b/>
          <w:color w:val="0F172A"/>
          <w:sz w:val="18"/>
        </w:rPr>
        <w:t xml:space="preserve">6. Roadmap Co-Created With Owners: </w:t>
      </w:r>
      <w:r>
        <w:rPr>
          <w:rFonts w:ascii="Segoe UI" w:hAnsi="Segoe UI"/>
          <w:color w:val="0F172A"/>
          <w:sz w:val="18"/>
        </w:rPr>
        <w:t>Implementation sprint menus and delivery milestones are co-authored with internal squad owners to match realistic capacity.</w:t>
      </w:r>
    </w:p>
    <w:p>
      <w:pPr>
        <w:pStyle w:val="ListBullet"/>
        <w:spacing w:before="0" w:after="40" w:line="276" w:lineRule="auto"/>
      </w:pPr>
      <w:r>
        <w:rPr>
          <w:rFonts w:ascii="Segoe UI" w:hAnsi="Segoe UI"/>
          <w:b/>
          <w:color w:val="0F172A"/>
          <w:sz w:val="18"/>
        </w:rPr>
        <w:t xml:space="preserve">7. Quick Wins Identified Without Disrupting Operations: </w:t>
      </w:r>
      <w:r>
        <w:rPr>
          <w:rFonts w:ascii="Segoe UI" w:hAnsi="Segoe UI"/>
          <w:color w:val="0F172A"/>
          <w:sz w:val="18"/>
        </w:rPr>
        <w:t>Deliver high-impact quick wins (e.g. 30-day alert noise resets, stripping DEBUG logs) immediately to relieve on-call engineers without disrupting ongoing sprints.</w:t>
      </w:r>
    </w:p>
    <w:p>
      <w:pPr>
        <w:spacing w:after="60"/>
      </w:pPr>
    </w:p>
    <w:p>
      <w:pPr>
        <w:keepNext/>
        <w:spacing w:before="280" w:after="80"/>
      </w:pPr>
      <w:r>
        <w:rPr>
          <w:rFonts w:ascii="Segoe UI" w:hAnsi="Segoe UI"/>
          <w:b/>
          <w:color w:val="1E3A8A"/>
          <w:sz w:val="25"/>
        </w:rPr>
        <w:t>7. First-Call Sales Scripts &amp; Objection Handling Playbook</w:t>
      </w:r>
    </w:p>
    <w:p>
      <w:pPr>
        <w:spacing w:before="0" w:after="60" w:line="276" w:lineRule="auto"/>
      </w:pPr>
      <w:r>
        <w:rPr>
          <w:rFonts w:ascii="Segoe UI" w:hAnsi="Segoe UI"/>
          <w:color w:val="0F172A"/>
          <w:sz w:val="19"/>
        </w:rPr>
        <w:t>Verbatim answers to the most common customer pushbacks during initial discovery calls:</w:t>
      </w:r>
    </w:p>
    <w:p>
      <w:pPr>
        <w:keepNext/>
        <w:spacing w:before="200" w:after="60"/>
      </w:pPr>
      <w:r>
        <w:rPr>
          <w:rFonts w:ascii="Segoe UI" w:hAnsi="Segoe UI"/>
          <w:b/>
          <w:color w:val="334155"/>
          <w:sz w:val="21"/>
        </w:rPr>
        <w:t>Objection 1: 'We already have Datadog / Dynatrace. Why do we need an assessment?'</w:t>
      </w:r>
    </w:p>
    <w:p>
      <w:pPr>
        <w:spacing w:before="0" w:after="60" w:line="276" w:lineRule="auto"/>
      </w:pPr>
      <w:r>
        <w:rPr>
          <w:rFonts w:ascii="Segoe UI" w:hAnsi="Segoe UI"/>
          <w:b/>
          <w:color w:val="0F172A"/>
          <w:sz w:val="19"/>
        </w:rPr>
        <w:t xml:space="preserve">Vithi Response: </w:t>
      </w:r>
      <w:r>
        <w:rPr>
          <w:rFonts w:ascii="Segoe UI" w:hAnsi="Segoe UI"/>
          <w:color w:val="0F172A"/>
          <w:sz w:val="19"/>
        </w:rPr>
        <w:t>"Datadog and Dynatrace are outstanding software platforms, but they only ingest what you configure them to ingest. In almost every enterprise we evaluate, unmanaged custom metrics and log ingestion create massive telemetry overhead, yet on-call engineers still receive 30,000 alerts a month with 60% false alarms. Our assessment audits your existing configuration to stop the alert noise, connect traces across your data pipelines, and eliminate duplicate logging overhead and 80%+ alert noise without replacing Datadog."</w:t>
      </w:r>
    </w:p>
    <w:p>
      <w:pPr>
        <w:keepNext/>
        <w:spacing w:before="200" w:after="60"/>
      </w:pPr>
      <w:r>
        <w:rPr>
          <w:rFonts w:ascii="Segoe UI" w:hAnsi="Segoe UI"/>
          <w:b/>
          <w:color w:val="334155"/>
          <w:sz w:val="21"/>
        </w:rPr>
        <w:t>Objection 2: 'Our engineering team is swamped. We don't have time for a consulting audit.'</w:t>
      </w:r>
    </w:p>
    <w:p>
      <w:pPr>
        <w:spacing w:before="0" w:after="60" w:line="276" w:lineRule="auto"/>
      </w:pPr>
      <w:r>
        <w:rPr>
          <w:rFonts w:ascii="Segoe UI" w:hAnsi="Segoe UI"/>
          <w:b/>
          <w:color w:val="0F172A"/>
          <w:sz w:val="19"/>
        </w:rPr>
        <w:t xml:space="preserve">Vithi Response: </w:t>
      </w:r>
      <w:r>
        <w:rPr>
          <w:rFonts w:ascii="Segoe UI" w:hAnsi="Segoe UI"/>
          <w:color w:val="0F172A"/>
          <w:sz w:val="19"/>
        </w:rPr>
        <w:t>"That is exactly why you need this review. Your engineers are swamped because they are spending 300+ hours a month triaging noisy false alarms and sitting in manual incident war rooms. We require less than 10 hours of total interview time from your team over 2 weeks. Everything else is conducted by our Principal SREs using read-only access to configs and alert logs. Within 30 days, we give your engineers hundreds of hours of productivity back."</w:t>
      </w:r>
    </w:p>
    <w:p>
      <w:pPr>
        <w:keepNext/>
        <w:spacing w:before="200" w:after="60"/>
      </w:pPr>
      <w:r>
        <w:rPr>
          <w:rFonts w:ascii="Segoe UI" w:hAnsi="Segoe UI"/>
          <w:b/>
          <w:color w:val="334155"/>
          <w:sz w:val="21"/>
        </w:rPr>
        <w:t>Objection 3: 'How do we know our proprietary customer data is safe during your review?'</w:t>
      </w:r>
    </w:p>
    <w:p>
      <w:pPr>
        <w:spacing w:before="0" w:after="60" w:line="276" w:lineRule="auto"/>
      </w:pPr>
      <w:r>
        <w:rPr>
          <w:rFonts w:ascii="Segoe UI" w:hAnsi="Segoe UI"/>
          <w:b/>
          <w:color w:val="0F172A"/>
          <w:sz w:val="19"/>
        </w:rPr>
        <w:t xml:space="preserve">Vithi Response: </w:t>
      </w:r>
      <w:r>
        <w:rPr>
          <w:rFonts w:ascii="Segoe UI" w:hAnsi="Segoe UI"/>
          <w:color w:val="0F172A"/>
          <w:sz w:val="19"/>
        </w:rPr>
        <w:t>"We operate under a strict 100% Read-Only Infosec Charter. We request pre-approved AWS SecurityAudit and ViewOnlyAccess roles. Our architects inspect system telemetry—metric time-series, trace headers, Terraform code, and alert configurations. We never query application databases, inspect customer records, or touch PII payloads. Every API call we execute is logged in your immutable AWS CloudTrail audit logs."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7"/>
      </w:rPr>
      <w:t>Confidential | Competitive Positioning &amp; Battlecard Guide |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VITHI IT SOLUTIONS | OBSERVABILITY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