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8"/>
        </w:rPr>
        <w:t>VITHI CONSULTING ASSESSMENT DIAGNOSTIC FRAMEWORK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6"/>
        </w:rPr>
        <w:t>Observability Maturity Assessment Questionnaire</w:t>
      </w:r>
    </w:p>
    <w:p>
      <w:pPr>
        <w:spacing w:before="0" w:after="160"/>
      </w:pPr>
      <w:r>
        <w:rPr>
          <w:rFonts w:ascii="Segoe UI" w:hAnsi="Segoe UI"/>
          <w:i/>
          <w:color w:val="334155"/>
          <w:sz w:val="21"/>
        </w:rPr>
        <w:t>Customer Discovery, Business Trigger Diagnostic, and Evidence-Based Scoring Across Service, Data Pipeline &amp; AI Estates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CONSULTATIVE ASSESSMENT METHODOLOGY</w:t>
              <w:br/>
            </w:r>
            <w:r>
              <w:rPr>
                <w:rFonts w:ascii="Segoe UI" w:hAnsi="Segoe UI"/>
                <w:color w:val="0F172A"/>
                <w:sz w:val="18"/>
              </w:rPr>
              <w:t>PURPOSE &amp; ASSESSMENT DISCIPLINE: This questionnaire establishes an evidence-backed baseline across telemetry breadth, distributed tracing, alerting precision, SLO governance, data pipelines, and AI data flows. All numerical ratings (Level 1 to 5) must be corroborated by physical evidence artifacts (EV01–EV12). Unverified claims are tagged as 'Unknown' to maintain consulting credibility.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Part 0: Front-End Business Trigger &amp; Executive Context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Before assessing technical telemetry, the assessor must capture the business catalysts, critical assets, failure blast radius, executive sponsors, and intended decisions that justify this engagement: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Trigger ID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Strategic Context Parameter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Discovery Question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Response &amp; Notes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BT-01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Review Catalyst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What specific incident, major outage, customer escalation, SLA breach, regulatory audit request, or unbudgeted tool cost spike triggered this review?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Sev-1 payment checkout timeout (38m downtime); 42% Datadog cost spike; on-call engineer burnout]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BT-02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Business-Critical Assets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Which specific services, digital products, data pipelines, customer journeys, or executive BI dashboards cause immediate financial or brand damage if degraded?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Core Payment API, Fraud Detection Kafka Streaming, Wealth Management Daily P&amp;L Looker Report]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BT-03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Failure Blast Radius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What tangible business consequence occurs when observability fails? (Direct transaction drops, customer checkout disruption, regulatory exposure, customer churn, developer attrition)?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4,200 failed customer checkouts during peak outage; 4-hour delay in executive trading desk risk reporting]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BT-04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Executive Sponsorship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Who is the primary executive sponsor and co-sponsor championing this assessment (CIO, CTO, CDO, Head of SRE/Engineering, Head of Data, Business COO)?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VP of Site Reliability &amp; Cloud Ops (Sponsor); Head of Enterprise Data Architecture (Co-Sponsor)]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BT-05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Target Strategic Decision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What specific decision must this assessment support: tool consolidation/rationalization, SRE error budget rollout, 30-day alert reset, MTTR reduction, or managed services?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Authorize 30-day alert noise reset; consolidate duplicate Splunk/CloudWatch logging; enforce Tier-1 SLOs]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BT-06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Tool Ingestion &amp; Engineering Overhead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What is the total operational footprint of observability tools (Datadog, Splunk, CloudWatch, Dynatrace, New Relic), and is there an executive mandate to reduce engineering toil and alert noise?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[e.g., Sprawling multi-tool stack generating 32,000 alerts/month; executive mandate to cut engineering triage effort and noise by ≥50%]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Part 1: Core Service &amp; Engineering Observability (O0 — O7)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Diagnostic questions scored on a 1.0 to 5.0 scale, supported by audited physical evidence: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O0 — Observability Strategy, Ownership &amp; Estate Criticality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0.1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Tier-1 services have a named technical owner and active on-call rotation?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EV01, EV05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65% mapped; 35% unmaintained in wiki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0.2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observability reviewed as an automated release gate in CI/CD before a service goes to production?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EV01, EV03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Manual ad-hoc check; no CI/CD gate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0.3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there an agreed telemetry standard (e.g. OpenTelemetry semantic conventions) adopted across all squads?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EV02, 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JSON logging standard adopted in 60% repos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0.4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monthly observability costs, license usage, and data ingestion tracked and reviewed with leadership?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Central IT bill; zero squad showback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O1 — Telemetry Collection, Breadth &amp; OpenTelemetry Ingestion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Tier-1 services emit standardized logs, metrics, and traces?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85% host/EKS metrics; serverless missing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Tier-1 services expose customer-impacting Golden Signals, not only CPU and RAM?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45% have latency/error signals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serverless, batch, and third-party API dependencies have telemetry coverage?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Serverless unmonitored; API timeouts blind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synthetic transactions running 24/7 to validate external user checkout and login journeys?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3 basic HTTP pings; no multi-step scripts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O2 — Correlation, Distributed Tracing &amp; Context Propagation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2.1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Can an engineer trace a single customer transaction end-to-end across all microservice hops?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Traces break at Kafka message broker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2.2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correlation IDs (traceId, spanId) injected into 100% of application log outputs?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EV04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45% Java services inject traceId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2.3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there an automated, real-time service dependency map showing active bottlenecks and error rates?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EV02, 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Static Datadog map; lacks Kafka workers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2.4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trace sampling managed dynamically (tail-based) to capture 100% of errors without bill shock?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Fixed random 10% head sampling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O3 — Alert Quality, Signal-to-Noise &amp; Routing Precision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3.1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alerts delivered to on-call engineers are actionable and require human intervention?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Actionable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39% actionable (61% false alarms/noise)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3.2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percentage of critical alerts include a direct link to an active, verified operational runbook URL?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EV05, 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Only 12% alerts provide runbook URLs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3.3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alert thresholds dynamically tuned using anomaly detection rather than static CPU/memory thresholds?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Static 80% CPU triggers nightly in backups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3.4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cascading alert storms automatically grouped and de-duplicated during a major outage?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Single DB failure paged 6 squads (420 alerts)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O4 — SLI, SLO &amp; Error Budget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4.1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Service Level Objectives (SLOs) defined and published for all customer-facing Tier-1 services?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No formal SLO register; uptime only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4.2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multi-window multi-burn-rate alerts (e.g. 14.4x 1-hour, 6x 6-hour) deployed instead of static alerts?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EV06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Zero burn-rate alerting in place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4.3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there an executive-backed Error Budget Policy governing release freezes when budgets are exhausted?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Product squads push code regardless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4.4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monthly SLO compliance and reliability burn-down reports shared with executive leadership?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EV06,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Conflicting uptime numbers reported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O5 — Dashboards &amp; Operational Golden Signals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5.1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Do Tier-1 services have standardized Golden Signal dashboards (Latency, Traffic, Errors, Saturation)?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58 disparate dashboards; high clutter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5.2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dashboard sprawl actively governed and unmaintained/unused dashboards archived regularly?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65% of dashboards unviewed in &gt;90 days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5.3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Can engineers navigate from a dashboard graph to corresponding trace spans and logs in 1 click?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Manual copy-pasting of timestamps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5.4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real-time business transaction throughput volumes displayed alongside infrastructure health?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Infra metrics only; zero business throughput data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O6 — Incident Response, MTTR &amp; Continuous RCA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6.1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What is the historical Mean Time to Acknowledge (MTTA) and Mean Time to Resolve (MTTR) for Sev-1/2s?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MTTR Minutes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EV04, 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MTTA = 4 mins; MTTR = 165 minutes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6.2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blameless Post-Incident Reviews (PIR) conducted within 72 hours and tracked to completion in Jira?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PIRs held irregularly; tickets open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6.3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Do past post-mortem remediation action items prevent identical failures from recurring in production?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3 identical DB connection pool outages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6.4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customer status pages automated directly from incident triggers to manage stakeholder comms?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Support inundated with calls before notice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O7 — Logging Cost, Retention &amp; FinOps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7.1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log retention policies tiered based on operational vs audit compliance value (Hot, Warm, Glacier)?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EV11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All logs retained 365d in hot tier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7.2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high-volume debug logs filtered or sampled at the container edge before cloud ingestion?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Debug logs active in prod (38% volume)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7.3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PII, credentials, and credit card numbers automatically masked or tokenized before log ingestion?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Basic regex masking; edge cases leak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7.4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there automated chargeback/showback for observability SaaS and cloud ingestion spend by squad?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Central IT pays entire vendor bill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Part 2: Parallel Data, Pipeline &amp; AI-Flow Observability (The Differentiator)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This section prevents the assessment from being pulled into generic APM competition by evaluating data pipelines, data products, executive dashboards, and generative AI flows: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O8 — Critical Data Pipelines &amp; Pipeline Health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8.1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critical ETL/ELT batch pipelines (Airflow, Glue, Spark) monitored for execution duration variance?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Airflow alerts on total failure only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8.2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automated SLA miss callbacks triggered when a daily batch pipeline exceeds its allowable runtime window?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EV09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Silent 3-hour job delays go unnoticed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8.3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streaming consumer lag on Kafka / Kinesis queues monitored with alerts before backpressure occurs?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Kafka lag untracked until memory crash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8.4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Can data engineers trace an Airflow task failure to the underlying Spark executor log in 1 click?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EV09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Manual SSH to cluster nodes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O9 — Critical Data Products &amp; Table Health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9.1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automated freshness timestamp checks running to detect stale data in gold/reporting tables?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Stale reports discovered by users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9.2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volume anomaly monitors active to alert on unexpected row-count drops (e.g. 40% ingestion drops)?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Zero volume anomaly alerts active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9.3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schema validation automated to block unannounced column drops, type mutations, or renaming?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Upstream DB schema change broke BI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9.4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automated data quality tests (null rates, uniqueness, range checks) executed at the ingestion boundary?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Manual SQL checks conducted ad-hoc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O10 — Business Dashboards &amp; Data Consumers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10.1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executive BI dashboards (Looker, Tableau, PowerBI) monitored for query performance degradation?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Complaints received when load &gt;30s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10.2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automated warning banners displayed on executive dashboards when upstream data pipelines are delayed?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EV07, 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Executives view stale data unknowingly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10.3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end-to-end data lineage documented from the source transactional table to the final BI metric?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EV09, 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Static wiki diagrams unmaintained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10.4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downstream business consumers proactively notified before planned pipeline maintenance or delays?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Notification sent only after complaints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O11 — Tool Architecture &amp; Rationalization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11.1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 observability architecture built on open standards (OpenTelemetry) to avoid vendor lock-in?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EV02, 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Heavy lock-in to proprietary agents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11.2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duplicate monitoring and log aggregation licenses identified for decommissioning (e.g. Splunk vs Datadog)?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Triple-logging across 3 separate tools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11.3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cross-region cloud telemetry data egress volumes actively monitored and optimized via local collectors?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Unbudgeted egress volume spikes due to uncompressed logs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11.4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there a single pane of glass correlating infrastructure metrics, application traces, and data pipeline health?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EV02,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Teams maintain separate dashboards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O12 — AI / GenAI &amp; RAG Data Flows (Modular Extension)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12.1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LLM / GenAI inference latencies, prompt tokens, and completion costs tracked per application/squad?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Bedrock chatbot running with zero telemetry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12.2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vector search retrieval latencies (OpenSearch / Pinecone) and similarity threshold scores monitored?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Vector search latency uninstrumented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12.3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Are automated evaluation metrics (faithfulness, context relevance, hallucination rate) tracked in production?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Hallucinations reported manually by users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6"/>
              </w:rPr>
              <w:t>12.4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Is the freshness and embedding sync lag of knowledge-base documents powering RAG flows observable?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6"/>
              </w:rPr>
              <w:t>EV12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Knowledge base sync lag unknown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Part 3: Assessment Execution &amp; Governance Flow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The completion of this questionnaire initiates Vithi's structured 4-step diagnostic flow: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Step 1 — Discovery &amp; Trigger Alignment (Day 1): </w:t>
      </w:r>
      <w:r>
        <w:rPr>
          <w:rFonts w:ascii="Segoe UI" w:hAnsi="Segoe UI"/>
          <w:color w:val="0F172A"/>
          <w:sz w:val="18"/>
        </w:rPr>
        <w:t>Assessor and client leadership align on business triggers (BT-01 to BT-06) and confirm in-scope assets.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Step 2 — Questionnaire Self-Scoring (Days 2–4): </w:t>
      </w:r>
      <w:r>
        <w:rPr>
          <w:rFonts w:ascii="Segoe UI" w:hAnsi="Segoe UI"/>
          <w:color w:val="0F172A"/>
          <w:sz w:val="18"/>
        </w:rPr>
        <w:t>Engineering and data squad leads complete self-scores and provide evidence pointers.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Step 3 — Two-Week Evidence Sprint (Weeks 1–2): </w:t>
      </w:r>
      <w:r>
        <w:rPr>
          <w:rFonts w:ascii="Segoe UI" w:hAnsi="Segoe UI"/>
          <w:color w:val="0F172A"/>
          <w:sz w:val="18"/>
        </w:rPr>
        <w:t>Vithi Principal Architects inspect 12 concrete evidence artifacts (EV01–EV12) under read-only access to validate scores.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Step 4 — Executive Readout &amp; Roadmap (Week 3): </w:t>
      </w:r>
      <w:r>
        <w:rPr>
          <w:rFonts w:ascii="Segoe UI" w:hAnsi="Segoe UI"/>
          <w:color w:val="0F172A"/>
          <w:sz w:val="18"/>
        </w:rPr>
        <w:t>Formal readout presenting the audited Maturity Scorecard, 1-page executive summary, tool rationalization savings, and 3-horizon transformation roadmap.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| Observability Maturity Assessment Questionnaire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OBSERVABILITY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