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color w:val="2563EB"/>
          <w:sz w:val="18"/>
        </w:rPr>
        <w:t>VITHI IT SOLUTIONS — OPERATIONAL INTELLIGENCE &amp; SRE PRACTICE</w:t>
      </w:r>
    </w:p>
    <w:p>
      <w:pPr>
        <w:spacing w:before="0" w:after="40"/>
      </w:pPr>
      <w:r>
        <w:rPr>
          <w:rFonts w:ascii="Segoe UI" w:hAnsi="Segoe UI"/>
          <w:b/>
          <w:color w:val="0F172A"/>
          <w:sz w:val="36"/>
        </w:rPr>
        <w:t>Observability Readiness Assessment</w:t>
      </w:r>
    </w:p>
    <w:p>
      <w:pPr>
        <w:spacing w:before="0" w:after="200"/>
      </w:pPr>
      <w:r>
        <w:rPr>
          <w:rFonts w:ascii="Segoe UI" w:hAnsi="Segoe UI"/>
          <w:i/>
          <w:color w:val="334155"/>
          <w:sz w:val="21"/>
        </w:rPr>
        <w:t>Stop firefighting blind. Move from fragmented tools and alert storms to correlated, measurable, SRE-driven reliability.</w:t>
      </w: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5"/>
        </w:rPr>
        <w:t>1. The Enterprise Challenge: Observability Debt</w:t>
      </w:r>
    </w:p>
    <w:p>
      <w:pPr>
        <w:spacing w:before="0" w:after="60" w:line="276" w:lineRule="auto"/>
      </w:pPr>
      <w:r>
        <w:rPr>
          <w:rFonts w:ascii="Segoe UI" w:hAnsi="Segoe UI"/>
          <w:color w:val="0F172A"/>
          <w:sz w:val="19"/>
        </w:rPr>
        <w:t>Modern cloud enterprises spend hundreds of thousands of dollars annually on telemetry tools (Datadog, Dynatrace, CloudWatch, Splunk) but still cannot answer three fundamental questions during an outage: What broke? Who owns it? And what is the immediate blast radius?</w:t>
      </w:r>
    </w:p>
    <w:p>
      <w:pPr>
        <w:keepNext/>
        <w:spacing w:before="200" w:after="60"/>
      </w:pPr>
      <w:r>
        <w:rPr>
          <w:rFonts w:ascii="Segoe UI" w:hAnsi="Segoe UI"/>
          <w:b/>
          <w:color w:val="334155"/>
          <w:sz w:val="21"/>
        </w:rPr>
        <w:t>Symptoms We Identify &amp; Remediate on the Ground: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• Disconnected Telemetry: </w:t>
      </w:r>
      <w:r>
        <w:rPr>
          <w:rFonts w:ascii="Segoe UI" w:hAnsi="Segoe UI"/>
          <w:color w:val="0F172A"/>
          <w:sz w:val="18"/>
        </w:rPr>
        <w:t>Telemetries exist in silos: Metrics, logs, and distributed traces do not connect across async message queues (Kafka) or serverless functions.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• Paging Fatigue &amp; Noise: </w:t>
      </w:r>
      <w:r>
        <w:rPr>
          <w:rFonts w:ascii="Segoe UI" w:hAnsi="Segoe UI"/>
          <w:color w:val="0F172A"/>
          <w:sz w:val="18"/>
        </w:rPr>
        <w:t>Engineers receive thousands of notifications per week; over 60% are non-actionable false alarms, driving severe alert fatigue and burnout.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• Slow Root-Cause Analysis: </w:t>
      </w:r>
      <w:r>
        <w:rPr>
          <w:rFonts w:ascii="Segoe UI" w:hAnsi="Segoe UI"/>
          <w:color w:val="0F172A"/>
          <w:sz w:val="18"/>
        </w:rPr>
        <w:t>Production incidents require manual 6-person war rooms; Mean Time to Recovery (MTTR) exceeds 2 to 3 hours.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• Subjective Reliability: </w:t>
      </w:r>
      <w:r>
        <w:rPr>
          <w:rFonts w:ascii="Segoe UI" w:hAnsi="Segoe UI"/>
          <w:color w:val="0F172A"/>
          <w:sz w:val="18"/>
        </w:rPr>
        <w:t>Tier-1 customer services lack measurable Service Level Objectives (SLOs) and error budget release freeze policies.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• Ingestion Bill Shock: </w:t>
      </w:r>
      <w:r>
        <w:rPr>
          <w:rFonts w:ascii="Segoe UI" w:hAnsi="Segoe UI"/>
          <w:color w:val="0F172A"/>
          <w:sz w:val="18"/>
        </w:rPr>
        <w:t>Log ingestion bills spike by 30–50% due to unmanaged DEBUG retention and triple-indexing across duplicate tools.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DBEAFE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/>
                <w:color w:val="1E3A8A"/>
                <w:sz w:val="19"/>
              </w:rPr>
              <w:t>DATA, DASHBOARD &amp; AI-FLOW OBSERVABILITY EXTENSION</w:t>
              <w:br/>
            </w:r>
            <w:r>
              <w:rPr>
                <w:rFonts w:ascii="Segoe UI" w:hAnsi="Segoe UI"/>
                <w:color w:val="0F172A"/>
                <w:sz w:val="18"/>
              </w:rPr>
              <w:t>Especially useful where critical data pipelines, dashboards, customer-facing services or AI data flows are impacted by blind spots, noisy alerts or slow root-cause analysis.</w:t>
            </w:r>
          </w:p>
        </w:tc>
      </w:tr>
    </w:tbl>
    <w:p>
      <w:pPr>
        <w:spacing w:after="60"/>
      </w:pP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5"/>
        </w:rPr>
        <w:t>2. Why Vithi? Strategic Differentiation</w:t>
      </w:r>
    </w:p>
    <w:p>
      <w:pPr>
        <w:spacing w:before="0" w:after="60" w:line="276" w:lineRule="auto"/>
      </w:pPr>
      <w:r>
        <w:rPr>
          <w:rFonts w:ascii="Segoe UI" w:hAnsi="Segoe UI"/>
          <w:color w:val="0F172A"/>
          <w:sz w:val="19"/>
        </w:rPr>
        <w:t>Why choose Vithi over product vendors, global SIs, or relying solely on internal teams: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968"/>
        <w:gridCol w:w="4968"/>
      </w:tblGrid>
      <w:tr>
        <w:trPr>
          <w:tblHeader/>
          <w:cantSplit/>
        </w:trPr>
        <w:tc>
          <w:tcPr>
            <w:tcW w:type="dxa" w:w="496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Customer Concern</w:t>
            </w:r>
          </w:p>
        </w:tc>
        <w:tc>
          <w:tcPr>
            <w:tcW w:type="dxa" w:w="496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Vithi Consultative Answer</w:t>
            </w:r>
          </w:p>
        </w:tc>
      </w:tr>
      <w:tr>
        <w:trPr>
          <w:cantSplit/>
        </w:trPr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Why not my existing observability tool?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8"/>
              </w:rPr>
              <w:t>We assess whether your current tools are actually delivering ownership, correlation, SLOs, incident reduction and business evidence.</w:t>
            </w:r>
          </w:p>
        </w:tc>
      </w:tr>
      <w:tr>
        <w:trPr>
          <w:cantSplit/>
        </w:trPr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Why not a large SI?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8"/>
              </w:rPr>
              <w:t>We start with a focused two-week evidence sprint, not an open-ended multi-year transformation program.</w:t>
            </w:r>
          </w:p>
        </w:tc>
      </w:tr>
      <w:tr>
        <w:trPr>
          <w:cantSplit/>
        </w:trPr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Why not our internal SRE / Platform team?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8"/>
              </w:rPr>
              <w:t>Your internal team knows the environment best. Vithi helps convert that knowledge into an evidence-backed baseline, cross-team agreement, prioritised roadmap, and executable improvement plan—solving bandwidth constraints and securing executive budget.</w:t>
            </w:r>
          </w:p>
        </w:tc>
      </w:tr>
      <w:tr>
        <w:trPr>
          <w:cantSplit/>
        </w:trPr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Why Vithi specifically?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8"/>
              </w:rPr>
              <w:t>Tool-neutral, data-pipeline aware, senior-led SRE engineering authority, business-impact-led, and rapid implementation-linked.</w:t>
            </w:r>
          </w:p>
        </w:tc>
      </w:tr>
    </w:tbl>
    <w:p>
      <w:pPr>
        <w:keepNext/>
        <w:spacing w:before="280" w:after="80"/>
      </w:pPr>
      <w:r>
        <w:rPr>
          <w:rFonts w:ascii="Segoe UI" w:hAnsi="Segoe UI"/>
          <w:b/>
          <w:color w:val="1E3A8A"/>
          <w:sz w:val="25"/>
        </w:rPr>
        <w:t>3. The 4-Stage Reliability Transformation Journey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3312"/>
            <w:shd w:fill="33415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Transformation Stage</w:t>
            </w:r>
          </w:p>
        </w:tc>
        <w:tc>
          <w:tcPr>
            <w:tcW w:type="dxa" w:w="3312"/>
            <w:shd w:fill="33415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Key Deliverables &amp; Milestones</w:t>
            </w:r>
          </w:p>
        </w:tc>
        <w:tc>
          <w:tcPr>
            <w:tcW w:type="dxa" w:w="3312"/>
            <w:shd w:fill="33415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Core Business Objective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3A8A"/>
                <w:sz w:val="17"/>
              </w:rPr>
              <w:t>1. Assessment (Weeks 1–2)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Maturity Scorecard (O0–O11); 12-Evidence Audit; Tool Rationalization Matrix; 3-Horizon Transformation Roadmap.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Establish audited baseline; identify alert noise sources; uncover tooling overlap and financial leakage.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3A8A"/>
                <w:sz w:val="17"/>
              </w:rPr>
              <w:t>2. Implementation Sprint (Days 30–90)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30-Day Alert Reset; Tier-1 Runbook Alignment; OpenTelemetry Standards; Core SLI/SLO Deployment.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Stop the bleeding: cut alert noise by 60%+; eliminate single-point blindspots across Kafka &amp; serverless.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3A8A"/>
                <w:sz w:val="17"/>
              </w:rPr>
              <w:t>3. Managed SRE &amp; FinOps (Ongoing)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Monthly Alert Tuning; Blameless Post-Mortem Reviews; Log Lifecycle Tiering; Reliability KPI Executive Reporting.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Ensure long-term operational excellence; enforce error budget policies; control observability SaaS costs.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3A8A"/>
                <w:sz w:val="17"/>
              </w:rPr>
              <w:t>4. Intelligent Operations (Horizon 3)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AIOps Anomaly Detection; Automated Remediation Runbooks; GenAI Incident Summaries; LLM Telemetry Gateway.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Transition from proactive alerting to autonomous self-healing and enterprise AI governance.</w:t>
            </w:r>
          </w:p>
        </w:tc>
      </w:tr>
    </w:tbl>
    <w:p>
      <w:pPr>
        <w:keepNext/>
        <w:spacing w:before="280" w:after="80"/>
      </w:pPr>
      <w:r>
        <w:rPr>
          <w:rFonts w:ascii="Segoe UI" w:hAnsi="Segoe UI"/>
          <w:b/>
          <w:color w:val="1E3A8A"/>
          <w:sz w:val="25"/>
        </w:rPr>
        <w:t>4. Headline Quantified Outcomes You Can Hold Us 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rPr>
          <w:tblHeader/>
          <w:cantSplit/>
        </w:trPr>
        <w:tc>
          <w:tcPr>
            <w:tcW w:type="dxa" w:w="24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Operational Metric</w:t>
            </w:r>
          </w:p>
        </w:tc>
        <w:tc>
          <w:tcPr>
            <w:tcW w:type="dxa" w:w="24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Current State Baseline</w:t>
            </w:r>
          </w:p>
        </w:tc>
        <w:tc>
          <w:tcPr>
            <w:tcW w:type="dxa" w:w="24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Vithi Target State (12 Mo)</w:t>
            </w:r>
          </w:p>
        </w:tc>
        <w:tc>
          <w:tcPr>
            <w:tcW w:type="dxa" w:w="24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Business Impact</w:t>
            </w:r>
          </w:p>
        </w:tc>
      </w:tr>
      <w:tr>
        <w:trPr>
          <w:cantSplit/>
        </w:trPr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sz w:val="17"/>
              </w:rPr>
              <w:t>Mean Time to Recovery (MTTR)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165 minutes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66534"/>
                <w:sz w:val="17"/>
              </w:rPr>
              <w:t>&lt;45 minutes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72% reduction in downtime &amp; transaction revenue drop</w:t>
            </w:r>
          </w:p>
        </w:tc>
      </w:tr>
      <w:tr>
        <w:trPr>
          <w:cantSplit/>
        </w:trPr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sz w:val="17"/>
              </w:rPr>
              <w:t>Actionable Alert Precision Rate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39% actionable (61% noise)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66534"/>
                <w:sz w:val="17"/>
              </w:rPr>
              <w:t>≥80% actionable (&lt;8% noise)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Reclaims 350+ engineering hours/mo; ends on-call fatigue</w:t>
            </w:r>
          </w:p>
        </w:tc>
      </w:tr>
      <w:tr>
        <w:trPr>
          <w:cantSplit/>
        </w:trPr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sz w:val="17"/>
              </w:rPr>
              <w:t>Duplicate / Noisy Alert Rate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18% duplicate / storm rate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66534"/>
                <w:sz w:val="17"/>
              </w:rPr>
              <w:t>≤7% isolated rate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Automated grouping prevents cascading alert storms</w:t>
            </w:r>
          </w:p>
        </w:tc>
      </w:tr>
      <w:tr>
        <w:trPr>
          <w:cantSplit/>
        </w:trPr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sz w:val="17"/>
              </w:rPr>
              <w:t>Tier-1 SLI / SLO Governance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0% coverage (Subjective)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66534"/>
                <w:sz w:val="17"/>
              </w:rPr>
              <w:t>100% of critical customer paths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Error budgets halt unstable releases; protects SLAs</w:t>
            </w:r>
          </w:p>
        </w:tc>
      </w:tr>
      <w:tr>
        <w:trPr>
          <w:cantSplit/>
        </w:trPr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sz w:val="17"/>
              </w:rPr>
              <w:t>Telemetry Ingestion Efficiency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Sprawling duplicate indexing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66534"/>
                <w:sz w:val="17"/>
              </w:rPr>
              <w:t>Consolidated OpenTelemetry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Reduces telemetry ingestion overhead by 20–25% while expanding signal coverage</w:t>
            </w:r>
          </w:p>
        </w:tc>
      </w:tr>
    </w:tbl>
    <w:p>
      <w:pPr>
        <w:keepNext/>
        <w:spacing w:before="280" w:after="80"/>
      </w:pPr>
      <w:r>
        <w:rPr>
          <w:rFonts w:ascii="Segoe UI" w:hAnsi="Segoe UI"/>
          <w:b/>
          <w:color w:val="1E3A8A"/>
          <w:sz w:val="25"/>
        </w:rPr>
        <w:t>5. How Vithi Works With Your Internal SRE &amp; Platform Squads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/>
                <w:color w:val="1E3A8A"/>
                <w:sz w:val="19"/>
              </w:rPr>
              <w:t>THE VITHI INTERNAL COLLABORATION CHARTER</w:t>
              <w:br/>
            </w:r>
            <w:r>
              <w:rPr>
                <w:rFonts w:ascii="Segoe UI" w:hAnsi="Segoe UI"/>
                <w:color w:val="0F172A"/>
                <w:sz w:val="18"/>
              </w:rPr>
              <w:t>"Your internal team knows the environment best. Vithi helps convert that knowledge into an evidence-backed baseline, cross-team agreement, prioritised roadmap, and an executable improvement plan — solving bandwidth constraints, resolving cross-team silos, and securing executive budget."</w:t>
            </w:r>
          </w:p>
        </w:tc>
      </w:tr>
    </w:tbl>
    <w:p>
      <w:pPr>
        <w:spacing w:after="60"/>
      </w:pP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1. No-Blame Assessment: </w:t>
      </w:r>
      <w:r>
        <w:rPr>
          <w:rFonts w:ascii="Segoe UI" w:hAnsi="Segoe UI"/>
          <w:color w:val="0F172A"/>
          <w:sz w:val="18"/>
        </w:rPr>
        <w:t>Focus strictly on telemetry gaps and architectural bottlenecks—never individual or squad competency.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2. Evidence Over Opinion: </w:t>
      </w:r>
      <w:r>
        <w:rPr>
          <w:rFonts w:ascii="Segoe UI" w:hAnsi="Segoe UI"/>
          <w:color w:val="0F172A"/>
          <w:sz w:val="18"/>
        </w:rPr>
        <w:t>Replace subjective opinions between AppDev and Ops with physical telemetry and 90-day alert data.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3. Read-Only Walkthroughs Where Possible: </w:t>
      </w:r>
      <w:r>
        <w:rPr>
          <w:rFonts w:ascii="Segoe UI" w:hAnsi="Segoe UI"/>
          <w:color w:val="0F172A"/>
          <w:sz w:val="18"/>
        </w:rPr>
        <w:t>Operate under AWS SecurityAudit roles. Zero production agent installs; zero risk to running workloads.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4. Existing Tool Reuse First: </w:t>
      </w:r>
      <w:r>
        <w:rPr>
          <w:rFonts w:ascii="Segoe UI" w:hAnsi="Segoe UI"/>
          <w:color w:val="0F172A"/>
          <w:sz w:val="18"/>
        </w:rPr>
        <w:t>Prioritize tuning existing tooling (Datadog, CloudWatch, Grafana, PagerDuty) before proposing new software.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5. Internal Team Validates Findings: </w:t>
      </w:r>
      <w:r>
        <w:rPr>
          <w:rFonts w:ascii="Segoe UI" w:hAnsi="Segoe UI"/>
          <w:color w:val="0F172A"/>
          <w:sz w:val="18"/>
        </w:rPr>
        <w:t>Internal team leads review, challenge, and calibrate all raw scoring before executive presentations.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6. Roadmap Co-Created With Owners: </w:t>
      </w:r>
      <w:r>
        <w:rPr>
          <w:rFonts w:ascii="Segoe UI" w:hAnsi="Segoe UI"/>
          <w:color w:val="0F172A"/>
          <w:sz w:val="18"/>
        </w:rPr>
        <w:t>Implementation sprint menus and delivery milestones are co-authored with internal squad owners.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7. Quick Wins Identified Without Disrupting Operations: </w:t>
      </w:r>
      <w:r>
        <w:rPr>
          <w:rFonts w:ascii="Segoe UI" w:hAnsi="Segoe UI"/>
          <w:color w:val="0F172A"/>
          <w:sz w:val="18"/>
        </w:rPr>
        <w:t>Deliver 30-day alert noise resets immediately to relieve on-call engineers without disrupting ongoing sprints.</w:t>
      </w: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5"/>
        </w:rPr>
        <w:t>6. From This Page to Execution: The 2-Week Sprint</w:t>
      </w:r>
    </w:p>
    <w:p>
      <w:pPr>
        <w:spacing w:before="0" w:after="60" w:line="276" w:lineRule="auto"/>
      </w:pPr>
      <w:r>
        <w:rPr>
          <w:rFonts w:ascii="Segoe UI" w:hAnsi="Segoe UI"/>
          <w:color w:val="0F172A"/>
          <w:sz w:val="19"/>
        </w:rPr>
        <w:t>Getting started requires zero production agent installs and zero security disruptions: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1. 30-Minute Business Trigger Discovery: </w:t>
      </w:r>
      <w:r>
        <w:rPr>
          <w:rFonts w:ascii="Segoe UI" w:hAnsi="Segoe UI"/>
          <w:color w:val="0F172A"/>
          <w:sz w:val="18"/>
        </w:rPr>
        <w:t>Align on the worst recent outage, alert noise spikes, or tool cost escalation with key leaders.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2. Self-Score Questionnaire Intake: </w:t>
      </w:r>
      <w:r>
        <w:rPr>
          <w:rFonts w:ascii="Segoe UI" w:hAnsi="Segoe UI"/>
          <w:color w:val="0F172A"/>
          <w:sz w:val="18"/>
        </w:rPr>
        <w:t>Lightweight questionnaire capturing your current architecture, tools, and pain points.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3. Two-Week Evidence Diagnostic Sprint: </w:t>
      </w:r>
      <w:r>
        <w:rPr>
          <w:rFonts w:ascii="Segoe UI" w:hAnsi="Segoe UI"/>
          <w:color w:val="0F172A"/>
          <w:sz w:val="18"/>
        </w:rPr>
        <w:t>Deep-dive review of 12 critical evidence artifacts (EV01–EV12) using read-only access.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4. Executive Board Readout &amp; Proposal: </w:t>
      </w:r>
      <w:r>
        <w:rPr>
          <w:rFonts w:ascii="Segoe UI" w:hAnsi="Segoe UI"/>
          <w:color w:val="0F172A"/>
          <w:sz w:val="18"/>
        </w:rPr>
        <w:t>Presentation of audited Maturity Scorecard, 1-page executive summary, and 3-horizon roadmap.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64748B"/>
        <w:sz w:val="17"/>
      </w:rPr>
      <w:t>Confidential | Observability Readiness One-Pager | www.vithi.com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64748B"/>
        <w:sz w:val="17"/>
      </w:rPr>
      <w:t>VITHI IT SOLUTIONS | OPERATIONAL INTELLIGENCE &amp; SRE PRACTICE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