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2563EB"/>
          <w:sz w:val="18"/>
        </w:rPr>
        <w:t>VITHI CONSULTING CLIENT CASE STUDY — FINANCIAL SERVICES &amp; DIGITAL BANKING</w:t>
      </w:r>
    </w:p>
    <w:p>
      <w:pPr>
        <w:spacing w:before="0" w:after="40"/>
      </w:pPr>
      <w:r>
        <w:rPr>
          <w:rFonts w:ascii="Segoe UI" w:hAnsi="Segoe UI"/>
          <w:b/>
          <w:color w:val="0F172A"/>
          <w:sz w:val="36"/>
        </w:rPr>
        <w:t>AWS Observability Value Blueprint</w:t>
      </w:r>
    </w:p>
    <w:p>
      <w:pPr>
        <w:spacing w:before="0" w:after="160"/>
      </w:pPr>
      <w:r>
        <w:rPr>
          <w:rFonts w:ascii="Segoe UI" w:hAnsi="Segoe UI"/>
          <w:i/>
          <w:color w:val="334155"/>
          <w:sz w:val="21"/>
        </w:rPr>
        <w:t>A Focused Two-Week Evidence Sprint &amp; Practical SRE Implementation for AWS-Native Critical Services, Data Pipelines, and Customer Journeys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EXECUTIVE ENGAGEMENT CONTEXT</w:t>
              <w:br/>
            </w:r>
            <w:r>
              <w:rPr>
                <w:rFonts w:ascii="Segoe UI" w:hAnsi="Segoe UI"/>
                <w:color w:val="0F172A"/>
                <w:sz w:val="18"/>
              </w:rPr>
              <w:t>CLIENT PROFILE: Apex Digital Banking &amp; Wealth Services Ltd. (Sanitized Enterprise Case)</w:t>
              <w:br/>
              <w:t>PRIMARY ESTATE: Multi-Account AWS (14 Accounts, 6 EKS Clusters, 42 Microservices, RDS Aurora, Kafka Streaming)</w:t>
              <w:br/>
              <w:t>DATA PLATFORM: Modern Data Platform (Snowflake, AWS Glue, Apache Airflow, Kafka)</w:t>
              <w:br/>
              <w:t>EXECUTIVE SPONSORS: VP of Site Reliability &amp; Cloud Operations | Head of Enterprise Data Architecture</w:t>
              <w:br/>
              <w:t>ASSESSMENT BASELINE: Maturity Level 2.12 / 5.0 (Defined / Siloed)  →  ACHIEVED: Maturity Level 3.85 / 5.0 (SRE-Driven)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1. Executive Summary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Apex Digital Banking operates a high-growth digital wealth and payment platform supporting 2.4 million active users. Over 18 months of rapid feature delivery, their observability infrastructure suffered from acute 'Observability Debt': six disparate monitoring tools operated in silos, generating over 32,000 monthly alerts that overwhelmed on-call engineering teams. During a Black Friday retail peak, a silent Kafka timeout triggered a 38-minute payment gateway outage resulting in 4,200 failed customer checkouts and severe merchant partner escalation.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Rather than attempting an open-ended, multi-year 'enterprise transformation', Apex engaged Vithi IT Solutions to run a focused two-week evidence sprint for selected critical services, payment data pipelines, and core customer journeys. The evidence sprint produced an audited maturity baseline, an alert noise root-cause map, and an actionable 90-day implementation sprint menu.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By shifting the engineering organization from subjective opinions to evidence-backed telemetry governance across dimensions O0 through O10, Vithi helped Apex reduce Mean Time to Recovery (MTTR) by 74%, eliminate 82% of alert noise, and reclaim 380+ engineering hours per month previously lost to alert fatigue.</w:t>
      </w: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Executive Operational Trajectory (Before vs After Implementation):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Key Performance Indicator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Pre-Assessment Baseline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Post-Transformation Outcome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Executive Business Value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Overall Maturity Level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Level 2.12 / 5.0 (Defined / Siloed)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Level 3.85 / 5.0 (SRE-Driven)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Shifted from reactive firefighting to proactive reliability governance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Mean Time to Resolve (MTTR)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165 minutes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42 minutes (-74%)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Eliminated manual war rooms; accelerated triage via distributed tracing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Monthly Alert Volume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32,400 alerts / month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5,800 alerts / month (-82%)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Recovered 380 senior engineering hours/month previously lost to noise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Actionable Alert Precision Rate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39% actionable (61% noise)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84% actionable (Target ≥75%)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Alerts fire only when real user impact occurs, backed by verified runbooks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Duplicate / Cascading Storm Rate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18% cascading storm rate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5.5% isolated rate (Target ≤7%)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Dependency-aware event grouping suppresses cascading alarm floods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Tier-1 Service Telemetry Coverage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42% partial metrics only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96% logs, metrics &amp; traces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Complete Golden Signals instrumentation across all 18 Tier-1 services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Runbook-Linked Alert Coverage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12% of alerts linked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100% of P1 / P2 alerts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On-call engineers resolve incidents in 1 click from verified runbook URLs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Telemetry Spend Attribution (FinOps)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0% (Unallocated IT budget)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92% tagged to squad owner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FinOps showback holds squads accountable for telemetry ingestion spend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Distributed Tracing Coverage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35% (Broken at Kafka)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94% end-to-end spans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W3C trace context connects asynchronous Kafka workers to API endpoints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Telemetry Ingestion Overhead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Sprawling duplicate logging across 3 tools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66534"/>
                <w:sz w:val="17"/>
              </w:rPr>
              <w:t>Unified OpenTelemetry &amp; Vector filtering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Reduced ingestion overhead by 25% and eliminated duplicate application indexing</w:t>
            </w:r>
          </w:p>
        </w:tc>
      </w:tr>
    </w:tbl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2. Customer Context &amp; The Business Catalyst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Apex Digital Banking operates 42 containerized microservices deployed across 6 Amazon EKS clusters, interfacing with on-premises mainframe banking ledgers via dedicated AWS Direct Connect circuits. Their modern data platform processes over 120 batch ETL pipelines and a high-throughput Kafka event bus powering real-time fraud scoring.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Four acute business triggers compelled the CIO and VP of SRE to commission this review: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1. Catastrophic Customer Outage: </w:t>
      </w:r>
      <w:r>
        <w:rPr>
          <w:rFonts w:ascii="Segoe UI" w:hAnsi="Segoe UI"/>
          <w:color w:val="0F172A"/>
          <w:sz w:val="18"/>
        </w:rPr>
        <w:t>A Sev-1 failure in the checkout tokenization service caused a 38-minute outage. Because traces dropped across Kafka, engineers spent 28 minutes simply isolating which service was failing.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2. Unplanned Telemetry Volume Spike: </w:t>
      </w:r>
      <w:r>
        <w:rPr>
          <w:rFonts w:ascii="Segoe UI" w:hAnsi="Segoe UI"/>
          <w:color w:val="0F172A"/>
          <w:sz w:val="18"/>
        </w:rPr>
        <w:t>Datadog custom metrics and CloudWatch log ingestion grew by 42% over two quarters, creating severe unmanaged telemetry bloat.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3. Severe On-Call Burnout: </w:t>
      </w:r>
      <w:r>
        <w:rPr>
          <w:rFonts w:ascii="Segoe UI" w:hAnsi="Segoe UI"/>
          <w:color w:val="0F172A"/>
          <w:sz w:val="18"/>
        </w:rPr>
        <w:t>Senior engineers were averaging 14 wake-up pages per on-call shift, resulting in high voluntary attrition and three ignored critical alerts.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4. Silent Data Corruption: </w:t>
      </w:r>
      <w:r>
        <w:rPr>
          <w:rFonts w:ascii="Segoe UI" w:hAnsi="Segoe UI"/>
          <w:color w:val="0F172A"/>
          <w:sz w:val="18"/>
        </w:rPr>
        <w:t>A silent schema drift in an upstream transactional database broke the Wealth Management Daily P&amp;L report for 40 executive advisors, resulting in compliance scrutiny.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3. Assessment Method &amp; Audited Evidence (EV01–EV12)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Rather than relying on subjective staff interviews, Vithi conducted a 2-week evidence diagnostic auditing 12 concrete artifacts under read-only access: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Evidence ID &amp; Artifact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Assessed Scope &amp; Source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Key Audit Finding &amp; Operational Risk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EV01 &amp; EV02: Service Catalog &amp; Architecture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Confluence, ServiceNow, AWS Topology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42 services inventoried; 18 Tier-1. Architecture lacked dynamic Kafka worker dependency mapping.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EV03 &amp; EV11: Telemetry Agents &amp; Ingestion Config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Terraform repos, Telemetry Ingestion Reports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Datadog agents on 85% of VMs. Triple-logging found: CloudWatch piped raw logs to both Splunk and Datadog.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EV04 &amp; EV05: 90-Day Pagers &amp; Runbooks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PagerDuty CSV (97,200 events analyzed)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61% of alerts were false positives. Only 12% of alerts provided verified operational runbook URLs.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EV06 &amp; EV07: SLOs &amp; Dashboard Registry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Datadog Dashboards, CloudWatch Alarms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Zero formal SLOs or error budgets. 58 dashboards audited; 65% unmaintained for over 90 days.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sz w:val="17"/>
              </w:rPr>
              <w:t>EV09 &amp; EV10: Data Pipelines &amp; Quality Logs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Airflow DAG executions, Glue CloudWatch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18 Airflow batch failures/month. Zero automated schema drift or null-rate detection rules in place.</w:t>
            </w:r>
          </w:p>
        </w:tc>
      </w:tr>
    </w:tbl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4. Deep-Dive Findings Across Clean Observability Dimensions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Vithi scored Apex's operations across clean Observability Dimensions (O0–O10), establishing industry-standard reliability metrics and SRE governance:</w:t>
      </w: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O0: Observability Strategy &amp; Governance (Baseline: 2.00 → Target: 4.13)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 xml:space="preserve">Gap: Production releases proceeded without mandatory observability readiness checks. </w:t>
        <w:br/>
        <w:t>Transformation: Created an automated 'Observability Gate' in GitHub Actions CI/CD. Microservices cannot deploy without an active PagerDuty routing rule and verified health endpoints.</w:t>
      </w: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O1 &amp; O2: Telemetry Breadth &amp; Distributed Tracing (Baseline: 2.01 → Target: 4.19)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Gap: Traces terminated at Kafka message brokers; asynchronous workers ran completely blind.</w:t>
        <w:br/>
        <w:t>Transformation: Standardized on OpenTelemetry SDKs with W3C traceparent context injection into Kafka message headers, achieving 100% end-to-end trace correlation.</w:t>
      </w: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O3: Alert Quality &amp; Routing (Baseline: 1.63 → Target: 4.13)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Gap: 61% of all PagerDuty alarms were non-actionable false positives (e.g. CPU spikes during backups).</w:t>
        <w:br/>
        <w:t>Transformation: Executed a 30-Day Alert Reset. Silenced static threshold alarms, transitioned to symptom-based alerting, and enforced mandatory runbook URLs across 100% of P1 alerts.</w:t>
      </w: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O4: SLI, SLO &amp; Error Budget Governance (Baseline: 1.25 → Target: 3.88)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Gap: Zero SLOs existed; reliability discussions were purely opinion-based.</w:t>
        <w:br/>
        <w:t>Transformation: Defined 4 core SLIs (Availability, Latency, Error Rate, Data Freshness) for all Tier-1 services, deploying multi-window burn rate alerts (14.4x 1-hour and 6x 6-hour).</w:t>
      </w: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O7 &amp; O10: Logging Hygiene &amp; Tool Rationalization (Baseline: 1.73 → Target: 4.02)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Gap: Dual/triple-logging in Splunk, CloudWatch, and Datadog created severe telemetry bloat and duplicate indexing.</w:t>
        <w:br/>
        <w:t>Transformation: Deployed Vector log routers to strip DEBUG logs at the container edge and decommissioned Splunk for application logs, eliminating redundant processing across 100% of application logs.</w:t>
      </w:r>
    </w:p>
    <w:p>
      <w:pPr>
        <w:keepNext/>
        <w:spacing w:before="200" w:after="60"/>
      </w:pPr>
      <w:r>
        <w:rPr>
          <w:rFonts w:ascii="Segoe UI" w:hAnsi="Segoe UI"/>
          <w:b/>
          <w:color w:val="334155"/>
          <w:sz w:val="21"/>
        </w:rPr>
        <w:t>O8: Data Pipeline &amp; Product Observability (Baseline: 1.50 → Target: 4.00)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Gap: Silent batch ETL delays in Airflow broke executive wealth management reports without warning.</w:t>
        <w:br/>
        <w:t>Transformation: Implemented automated freshness checks and schema validation tests (Great Expectations / Soda) at the ingestion boundary, alerting engineers before data reaches BI reports.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5. The 90-Day Transformation Execution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The transformation was executed in 3 tightly managed 30-day sprints: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Horizon 1 (Days 0–30: Triage &amp; Quick Wins): </w:t>
      </w:r>
      <w:r>
        <w:rPr>
          <w:rFonts w:ascii="Segoe UI" w:hAnsi="Segoe UI"/>
          <w:color w:val="0F172A"/>
          <w:sz w:val="18"/>
        </w:rPr>
        <w:t>Silenced top-20 noisy alarms; mandated runbook URLs in all P1 alerts; deployed Vector edge filter to strip DEBUG logs.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Horizon 2 (Days 31–60: Standardize &amp; Align): </w:t>
      </w:r>
      <w:r>
        <w:rPr>
          <w:rFonts w:ascii="Segoe UI" w:hAnsi="Segoe UI"/>
          <w:color w:val="0F172A"/>
          <w:sz w:val="18"/>
        </w:rPr>
        <w:t>Rolled out OpenTelemetry SDKs across 42 services; injected W3C trace headers into Kafka; established Tier-1 SLO burn-rate alerts.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Horizon 3 (Days 61–90: FinOps &amp; Scale): </w:t>
      </w:r>
      <w:r>
        <w:rPr>
          <w:rFonts w:ascii="Segoe UI" w:hAnsi="Segoe UI"/>
          <w:color w:val="0F172A"/>
          <w:sz w:val="18"/>
        </w:rPr>
        <w:t>Automated data pipeline freshness checks; retired Splunk application log ingestion; built Executive Reliability Dashboard.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6. Quantified Operational &amp; Engineering Value Realization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Over a 12-month operating window, the transformation generated substantial, verified improvements across operational efficiency and team capacity: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Telemetry Ingestion Efficiency: 25% Overhead Reduction — </w:t>
      </w:r>
      <w:r>
        <w:rPr>
          <w:rFonts w:ascii="Segoe UI" w:hAnsi="Segoe UI"/>
          <w:color w:val="0F172A"/>
          <w:sz w:val="18"/>
        </w:rPr>
        <w:t>Deployed edge filtering and eliminated duplicate application indexing, streamlining telemetry pipelines.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Engineering Capacity Recovery: 380 Hours / Month Reclaimed — </w:t>
      </w:r>
      <w:r>
        <w:rPr>
          <w:rFonts w:ascii="Segoe UI" w:hAnsi="Segoe UI"/>
          <w:color w:val="0F172A"/>
          <w:sz w:val="18"/>
        </w:rPr>
        <w:t>Dropping monthly alerts from 32,400 to 5,800 saved 380 engineering hours/month previously lost to alert triage.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Incident Resolution Speed: 74% MTTR Reduction — </w:t>
      </w:r>
      <w:r>
        <w:rPr>
          <w:rFonts w:ascii="Segoe UI" w:hAnsi="Segoe UI"/>
          <w:color w:val="0F172A"/>
          <w:sz w:val="18"/>
        </w:rPr>
        <w:t>Cutting MTTR from 165 min to 42 min (74% reduction) prevented an estimated 8 customer-impacting outages.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Data Pipeline Reliability: 85% Triage Effort Reduction — </w:t>
      </w:r>
      <w:r>
        <w:rPr>
          <w:rFonts w:ascii="Segoe UI" w:hAnsi="Segoe UI"/>
          <w:color w:val="0F172A"/>
          <w:sz w:val="18"/>
        </w:rPr>
        <w:t>Automated schema tests eliminated manual SQL firefighting and cut data triage effort by 85%.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MEASUREMENT INTEGRITY &amp; BENCHMARK CAVEAT</w:t>
              <w:br/>
            </w:r>
            <w:r>
              <w:rPr>
                <w:rFonts w:ascii="Segoe UI" w:hAnsi="Segoe UI"/>
                <w:color w:val="0F172A"/>
                <w:sz w:val="18"/>
              </w:rPr>
              <w:t>BENCHMARK METHODOLOGY &amp; CLIENT VALIDATION CAVEAT: Baseline metrics, alert reductions, and ROI figures in this case study reflect audited production data from Apex Digital Banking's 90-day engagement. Projected financial returns and recovery metrics for prospective client environments are model estimates subject to baseline verification during the Phase-1 evidence sprint.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AWS Observability Value Blueprint | Sanitized Enterprise Study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AWS OBSERVABILITY &amp; SRE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