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Segoe UI" w:hAnsi="Segoe UI"/>
          <w:b/>
          <w:color w:val="2563EB"/>
          <w:sz w:val="18"/>
        </w:rPr>
        <w:t>VITHI OBSERVABILITY FRAMEWORK — CLOUD-SPECIFIC ANNEXURE 2</w:t>
      </w:r>
    </w:p>
    <w:p>
      <w:r>
        <w:rPr>
          <w:rFonts w:ascii="Segoe UI" w:hAnsi="Segoe UI"/>
          <w:b/>
          <w:color w:val="0F172A"/>
          <w:sz w:val="36"/>
        </w:rPr>
        <w:t>Azure Evidence &amp; Architecture Appendix</w:t>
      </w:r>
    </w:p>
    <w:p>
      <w:r>
        <w:rPr>
          <w:rFonts w:ascii="Segoe UI" w:hAnsi="Segoe UI"/>
          <w:i/>
          <w:color w:val="334155"/>
          <w:sz w:val="21"/>
        </w:rPr>
        <w:t>Audit Guidance, Telemetry Sources, and Evidence Mapping for Microsoft Azure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DBEAFE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24" w:space="0" w:color="1E3A8A"/>
              <w:top w:val="none"/>
              <w:right w:val="none"/>
              <w:bottom w:val="none"/>
            </w:tcBorders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b/>
                <w:color w:val="1E3A8A"/>
                <w:sz w:val="19"/>
              </w:rPr>
              <w:t>AZURE CLOUD EVIDENCE SCOPE</w:t>
              <w:br/>
            </w:r>
            <w:r>
              <w:rPr>
                <w:rFonts w:ascii="Segoe UI" w:hAnsi="Segoe UI"/>
                <w:color w:val="0F172A"/>
                <w:sz w:val="18"/>
              </w:rPr>
              <w:t>ANNEXURE PURPOSE: This appendix details the concrete Microsoft Azure evidence artifacts, Log Analytics workspaces, Application Insights telemetry, and audit sources required to evaluate an Azure enterprise environment.</w:t>
            </w:r>
          </w:p>
        </w:tc>
      </w:tr>
    </w:tbl>
    <w:p>
      <w:pPr>
        <w:spacing w:after="60"/>
      </w:pPr>
    </w:p>
    <w:p>
      <w:pPr>
        <w:keepNext/>
        <w:spacing w:before="280" w:after="80"/>
      </w:pPr>
      <w:r>
        <w:rPr>
          <w:rFonts w:ascii="Segoe UI" w:hAnsi="Segoe UI"/>
          <w:b/>
          <w:color w:val="1E3A8A"/>
          <w:sz w:val="25"/>
        </w:rPr>
        <w:t>1. Azure Platform Evidence Mapping (EV01–EV12)</w:t>
      </w:r>
    </w:p>
    <w:p>
      <w:pPr>
        <w:spacing w:before="0" w:after="60" w:line="276" w:lineRule="auto"/>
      </w:pPr>
      <w:r>
        <w:rPr>
          <w:rFonts w:ascii="Segoe UI" w:hAnsi="Segoe UI"/>
          <w:color w:val="0F172A"/>
          <w:sz w:val="19"/>
        </w:rPr>
        <w:t>Platform-neutral evidence artifacts mapped directly to native Microsoft Azure monitoring and management services: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312"/>
        <w:gridCol w:w="3312"/>
        <w:gridCol w:w="3312"/>
      </w:tblGrid>
      <w:tr>
        <w:trPr>
          <w:tblHeader/>
          <w:cantSplit/>
        </w:trPr>
        <w:tc>
          <w:tcPr>
            <w:tcW w:type="dxa" w:w="3312"/>
            <w:shd w:fill="334155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Evidence ID</w:t>
            </w:r>
          </w:p>
        </w:tc>
        <w:tc>
          <w:tcPr>
            <w:tcW w:type="dxa" w:w="3312"/>
            <w:shd w:fill="334155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Universal Evidence Artifact</w:t>
            </w:r>
          </w:p>
        </w:tc>
        <w:tc>
          <w:tcPr>
            <w:tcW w:type="dxa" w:w="3312"/>
            <w:shd w:fill="334155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Platform-Specific Telemetry Sources &amp; Audit Scope</w:t>
            </w:r>
          </w:p>
        </w:tc>
      </w:tr>
      <w:tr>
        <w:trPr>
          <w:cantSplit/>
        </w:trPr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7"/>
              </w:rPr>
              <w:t>EV01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Service Catalog &amp; Estate Profile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Azure Resource Graph queries, Management Groups / Subscription inventory, Azure Service Health.</w:t>
            </w:r>
          </w:p>
        </w:tc>
      </w:tr>
      <w:tr>
        <w:trPr>
          <w:cantSplit/>
        </w:trPr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7"/>
              </w:rPr>
              <w:t>EV02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Telemetry &amp; Topology Map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Application Insights Application Map, Azure Monitor OpenTelemetry Distro, Network Watcher topology.</w:t>
            </w:r>
          </w:p>
        </w:tc>
      </w:tr>
      <w:tr>
        <w:trPr>
          <w:cantSplit/>
        </w:trPr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7"/>
              </w:rPr>
              <w:t>EV03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Logs, Metrics &amp; Traces Ingestion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Azure Monitor Metrics, Log Analytics workspaces (KQL tables), App Insights standard &amp; custom availability tests.</w:t>
            </w:r>
          </w:p>
        </w:tc>
      </w:tr>
      <w:tr>
        <w:trPr>
          <w:cantSplit/>
        </w:trPr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7"/>
              </w:rPr>
              <w:t>EV04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Alert Inventory &amp; 90-Day Pager History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Azure Monitor Alert Rules, Action Groups, Common Alert Schema logs, Smart Detection alert records.</w:t>
            </w:r>
          </w:p>
        </w:tc>
      </w:tr>
      <w:tr>
        <w:trPr>
          <w:cantSplit/>
        </w:trPr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7"/>
              </w:rPr>
              <w:t>EV05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SLI/SLO Register &amp; Error Budgets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Azure Monitor Workbooks (SLO tracking templates), Grafana Azure Monitor Data Source SLO dashboards.</w:t>
            </w:r>
          </w:p>
        </w:tc>
      </w:tr>
      <w:tr>
        <w:trPr>
          <w:cantSplit/>
        </w:trPr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7"/>
              </w:rPr>
              <w:t>EV06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Incident Register &amp; MTTR Records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Azure Monitor alerts history, ServiceNow ITOM Azure Connector, Azure DevOps Boards incident work items.</w:t>
            </w:r>
          </w:p>
        </w:tc>
      </w:tr>
      <w:tr>
        <w:trPr>
          <w:cantSplit/>
        </w:trPr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7"/>
              </w:rPr>
              <w:t>EV07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RCA &amp; Post-Incident Reviews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Azure DevOps PIR wiki pages, post-incident work items, Confluence / ServiceNow KEDB records.</w:t>
            </w:r>
          </w:p>
        </w:tc>
      </w:tr>
      <w:tr>
        <w:trPr>
          <w:cantSplit/>
        </w:trPr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7"/>
              </w:rPr>
              <w:t>EV08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Dashboard Inventory &amp; Usage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Azure Dashboards, Azure Monitor Workbooks, Azure Managed Grafana instances and dashboard usage.</w:t>
            </w:r>
          </w:p>
        </w:tc>
      </w:tr>
      <w:tr>
        <w:trPr>
          <w:cantSplit/>
        </w:trPr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7"/>
              </w:rPr>
              <w:t>EV09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Runbook &amp; Standard SOP Library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Azure Automation Runbooks (PowerShell/Python), Azure Logic Apps automated remediation workflows.</w:t>
            </w:r>
          </w:p>
        </w:tc>
      </w:tr>
      <w:tr>
        <w:trPr>
          <w:cantSplit/>
        </w:trPr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7"/>
              </w:rPr>
              <w:t>EV10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Telemetry Billing &amp; FinOps Costs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Azure Cost Management + Billing exports, Log Analytics ingestion volume (GB/day), commitment tiers.</w:t>
            </w:r>
          </w:p>
        </w:tc>
      </w:tr>
      <w:tr>
        <w:trPr>
          <w:cantSplit/>
        </w:trPr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7"/>
              </w:rPr>
              <w:t>EV11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Data Pipeline Observability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Azure Data Factory (ADF) pipeline run monitoring, Azure Synapse analytics logs, Databricks job metrics.</w:t>
            </w:r>
          </w:p>
        </w:tc>
      </w:tr>
      <w:tr>
        <w:trPr>
          <w:cantSplit/>
        </w:trPr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E3A8A"/>
                <w:sz w:val="17"/>
              </w:rPr>
              <w:t>EV12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AI, LLM &amp; RAG Observability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color w:val="0F172A"/>
                <w:sz w:val="17"/>
              </w:rPr>
              <w:t>Azure OpenAI Service latency &amp; token consumption, Azure AI Search vector retrieval latency, prompt safety logs.</w:t>
            </w:r>
          </w:p>
        </w:tc>
      </w:tr>
    </w:tbl>
    <w:p>
      <w:pPr>
        <w:spacing w:after="60"/>
      </w:pPr>
    </w:p>
    <w:p>
      <w:pPr>
        <w:keepNext/>
        <w:spacing w:before="280" w:after="80"/>
      </w:pPr>
      <w:r>
        <w:rPr>
          <w:rFonts w:ascii="Segoe UI" w:hAnsi="Segoe UI"/>
          <w:b/>
          <w:color w:val="1E3A8A"/>
          <w:sz w:val="25"/>
        </w:rPr>
        <w:t>2. Key Azure Architecture Deep Dives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0F172A"/>
          <w:sz w:val="18"/>
        </w:rPr>
        <w:t xml:space="preserve">• AKS &amp; App Services: </w:t>
      </w:r>
      <w:r>
        <w:rPr>
          <w:rFonts w:ascii="Segoe UI" w:hAnsi="Segoe UI"/>
          <w:color w:val="0F172A"/>
          <w:sz w:val="18"/>
        </w:rPr>
        <w:t>Audit Azure Kubernetes Service (AKS) Container Insights, Log Analytics KQL ingestion rates, and Application Gateway access logs.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0F172A"/>
          <w:sz w:val="18"/>
        </w:rPr>
        <w:t xml:space="preserve">• Data &amp; Analytics Flows: </w:t>
      </w:r>
      <w:r>
        <w:rPr>
          <w:rFonts w:ascii="Segoe UI" w:hAnsi="Segoe UI"/>
          <w:color w:val="0F172A"/>
          <w:sz w:val="18"/>
        </w:rPr>
        <w:t>Evaluate Azure Data Factory pipeline execution failure alerts, Azure Event Hubs partition lag, and Synapse SQL query performance.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b/>
          <w:color w:val="0F172A"/>
          <w:sz w:val="18"/>
        </w:rPr>
        <w:t xml:space="preserve">• Ingestion FinOps: </w:t>
      </w:r>
      <w:r>
        <w:rPr>
          <w:rFonts w:ascii="Segoe UI" w:hAnsi="Segoe UI"/>
          <w:color w:val="0F172A"/>
          <w:sz w:val="18"/>
        </w:rPr>
        <w:t>Inspect Log Analytics workspace daily caps, data retention policies (30d to 730d), and commitment tier cost optimizations.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64748B"/>
        <w:sz w:val="17"/>
      </w:rPr>
      <w:t>Critical Service &amp; Data Observability Readiness Assessment | Azure Ecosystem Annexure | v2.0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color w:val="64748B"/>
        <w:sz w:val="17"/>
      </w:rPr>
      <w:t>VITHI IT SOLUTIONS | AZURE EVIDENCE APPENDIX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