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563EB"/>
          <w:sz w:val="18"/>
        </w:rPr>
        <w:t>VITHI OBSERVABILITY FRAMEWORK — CLOUD-SPECIFIC ANNEXURE 4</w:t>
      </w:r>
    </w:p>
    <w:p>
      <w:r>
        <w:rPr>
          <w:rFonts w:ascii="Segoe UI" w:hAnsi="Segoe UI"/>
          <w:b/>
          <w:color w:val="0F172A"/>
          <w:sz w:val="36"/>
        </w:rPr>
        <w:t>Hybrid Cloud &amp; On-Premises Evidence Appendix</w:t>
      </w:r>
    </w:p>
    <w:p>
      <w:r>
        <w:rPr>
          <w:rFonts w:ascii="Segoe UI" w:hAnsi="Segoe UI"/>
          <w:i/>
          <w:color w:val="334155"/>
          <w:sz w:val="21"/>
        </w:rPr>
        <w:t>Audit Guidance, Telemetry Sources, and Evidence Mapping for Hybrid and Data Center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HYBRID &amp; ON-PREMISES EVIDENCE SCOPE</w:t>
              <w:br/>
            </w:r>
            <w:r>
              <w:rPr>
                <w:rFonts w:ascii="Segoe UI" w:hAnsi="Segoe UI"/>
                <w:color w:val="0F172A"/>
                <w:sz w:val="18"/>
              </w:rPr>
              <w:t>ANNEXURE PURPOSE: This appendix details the evidence artifacts, open-source stacks, and enterprise tools required to audit private cloud, VMware, bare-metal, and self-hosted Kubernetes environments.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Hybrid &amp; On-Prem Evidence Mapping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Platform-neutral evidence artifacts mapped directly to hybrid and data center monitoring infrastructure: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ServiceNow CMDB, Backstage, NetBox, VMware vCenter asset inventories, physical server CMDB.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OpenTelemetry Collector pipelines, Jaeger distributed traces, network flow maps, Wireshark/packet captures.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Prometheus scrapers, Splunk Heavy Forwarders, Elastic Beats / Logstash streams, Blackbox Exporters.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Prometheus Alertmanager rules, Splunk Saved Searches, Nagios/Zabbix alarms, ServiceNow ITOM events.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Grafana Sloth / OpenSLO configs, Prometheus multi-window burn rate alerts, custom SLA reports.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ServiceNow Major Incident Management (MIM) records, Jira Service Management tickets.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Confluence post-mortem space, ServiceNow Known Error Database (KEDB), RCA approval records.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Grafana Enterprise dashboards, Splunk ITSI glass tables, Kibana spaces and usage audits.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Runbook-as-code markdown repos, Ansible Automation Platform runbooks, AWX job templates.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On-premises SAN/NAS capacity reports, Splunk/Elastic license ingest limits, compute hardware lifecycle.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Apache Kafka consumer lag (Burrow/Prometheus), self-hosted Airflow execution logs, Spark history server.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On-prem vLLM / Ollama server metrics, Milvus / Qdrant vector database latency, local model audit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Key Hybrid Architecture Deep Dives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Infrastructure Telemetry: </w:t>
      </w:r>
      <w:r>
        <w:rPr>
          <w:rFonts w:ascii="Segoe UI" w:hAnsi="Segoe UI"/>
          <w:color w:val="0F172A"/>
          <w:sz w:val="18"/>
        </w:rPr>
        <w:t>Evaluate bare-metal and VMware ESXi hypervisors, node_exporter daemonsets, and SAN storage latency.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Hybrid Connectivity: </w:t>
      </w:r>
      <w:r>
        <w:rPr>
          <w:rFonts w:ascii="Segoe UI" w:hAnsi="Segoe UI"/>
          <w:color w:val="0F172A"/>
          <w:sz w:val="18"/>
        </w:rPr>
        <w:t>Audit cross-premises VPN and DirectConnect/ExpressRoute latency, packet drop rates, and edge firewall bottlenecks.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Ingestion &amp; License FinOps: </w:t>
      </w:r>
      <w:r>
        <w:rPr>
          <w:rFonts w:ascii="Segoe UI" w:hAnsi="Segoe UI"/>
          <w:color w:val="0F172A"/>
          <w:sz w:val="18"/>
        </w:rPr>
        <w:t>Examine Splunk and Elastic daily indexing volume against license thresholds to eliminate multi-terabyte cost overruns.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Hybrid &amp; On-Prem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HYBRID &amp; ON-PREM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