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563EB"/>
          <w:sz w:val="18"/>
        </w:rPr>
        <w:t>VITHI CONSULTING CLIENT CASE STUDY — REGULATED HYBRID ENTERPRISE</w:t>
      </w:r>
    </w:p>
    <w:p>
      <w:pPr>
        <w:spacing w:before="0" w:after="40"/>
      </w:pPr>
      <w:r>
        <w:rPr>
          <w:rFonts w:ascii="Segoe UI" w:hAnsi="Segoe UI"/>
          <w:b/>
          <w:color w:val="0F172A"/>
          <w:sz w:val="36"/>
        </w:rPr>
        <w:t>Cloud &amp; Hybrid Observability Value Blueprint</w:t>
      </w:r>
    </w:p>
    <w:p>
      <w:pPr>
        <w:spacing w:before="0" w:after="160"/>
      </w:pPr>
      <w:r>
        <w:rPr>
          <w:rFonts w:ascii="Segoe UI" w:hAnsi="Segoe UI"/>
          <w:i/>
          <w:color w:val="334155"/>
          <w:sz w:val="21"/>
        </w:rPr>
        <w:t>A Regulated Enterprise Operating Customer-Facing Applications, Data Pipelines, and Analytics Workloads Across Cloud and Hybrid Infrastructure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EXECUTIVE ENGAGEMENT CONTEXT</w:t>
              <w:br/>
            </w:r>
            <w:r>
              <w:rPr>
                <w:rFonts w:ascii="Segoe UI" w:hAnsi="Segoe UI"/>
                <w:color w:val="0F172A"/>
                <w:sz w:val="18"/>
              </w:rPr>
              <w:t>CLIENT PROFILE: Global Regulated Financial &amp; Clearing Services Corp. (Sanitized Case Study)</w:t>
              <w:br/>
              <w:t>PRIMARY ESTATE: Hybrid Multi-Cloud (AWS EKS, Azure App Services, On-Premises VMware, 65 Microservices)</w:t>
              <w:br/>
              <w:t>DATA &amp; AI PLATFORM: Hybrid Data Platform (Snowflake, Databricks, Apache Kafka, Apache Airflow, Vector RAG)</w:t>
              <w:br/>
              <w:t>EXECUTIVE SPONSORS: Global Head of Infrastructure &amp; SRE | VP of Enterprise Data &amp; Analytics</w:t>
              <w:br/>
              <w:t>ASSESSMENT BASELINE: Maturity Level 2.15 / 5.0 (Defined / Siloed)  →  ACHIEVED: Maturity Level 3.90 / 5.0 (SRE-Driven)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1. Executive Summary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The client operates a mission-critical financial transaction processing platform handling over 45 million transactions daily. Over three years of multi-cloud expansion, their observability posture fractured into isolated silos: Datadog monitored cloud containers, Splunk aggregated security logs, Azure Monitor covered regional endpoints, and on-premises mainframes ran on legacy scripts. When a cascading network timeout disrupted daily transaction clearing, engineers spent 140 minutes in a 25-person war room just determining whether the issue was in AWS, Azure, or the on-prem ledger.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Vithi was engaged to execute a focused two-week evidence sprint across critical transaction services and data pipelines, followed by an actionable 90-day implementation sprint. By establishing universal OpenTelemetry standards, 30-day alert noise reduction, and automated data freshness checks across dimensions O0 through O10, Vithi helped the enterprise cut MTTR by 72%, eliminate 84% of alert noise, and reclaim 420+ engineering hours per month previously lost to manual triage.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Executive Operational Trajectory (Before vs After Implementation):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Operational Key Performance Indicator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Pre-Assessment Baseline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Post-Transformation State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Executive Business Value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Overall Maturity Level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Level 2.15 / 5.0 (Siloed)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Level 3.90 / 5.0 (SRE-Driven)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Shifted from reactive firefighting to proactive cross-cloud reliability.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Mean Time to Recovery (MTTR)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155 minutes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43 minutes (-72%)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Unified W3C tracing across AWS, Azure, and Kafka accelerated triage.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Monthly Alert Volume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38,500 alerts / month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6,100 alerts / month (-84%)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Reclaimed 420 senior engineering hours/month previously lost to noise.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Actionable Alert Rate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34% actionable (66% noise)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86% actionable (Target ≥75%)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Alerts fire strictly on real customer impact backed by 1-click runbook URLs.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Duplicate / Storm Rate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22% cascading storm rate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4.8% isolated rate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Correlation engine groups cascading dependency failures automatically.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Tier-1 Golden Signal Coverage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38% partial metrics only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98% logs, metrics, traces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Full Golden Signals coverage across all 24 Tier-1 hybrid services.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Data Pipeline SLA Freshness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0% automated tracking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100% of critical ETL flows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Airflow and Snowflake batch delays alert engineers before BI reports fail.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Telemetry Ingestion Overhead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Sprawling multi-tool duplicate logging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Unified OpenTelemetry &amp; edge filtering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Reduced ingestion volume by 22% and eliminated 100% of duplicate indexing overhead.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2. The 90-Day Implementation Sprint Menu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The transformation was delivered across three structured 30-day implementation horizons: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Horizon 1 (Days 0–30: Triage &amp; Quick Wins): </w:t>
      </w:r>
      <w:r>
        <w:rPr>
          <w:rFonts w:ascii="Segoe UI" w:hAnsi="Segoe UI"/>
          <w:color w:val="0F172A"/>
          <w:sz w:val="18"/>
        </w:rPr>
        <w:t>Silenced top-30 noisy alarms; mandated runbook URLs on all P1 alerts; deployed Vector edge log filtering to strip non-production DEBUG logs.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Horizon 2 (Days 31–60: End-to-End Tracing &amp; SLOs): </w:t>
      </w:r>
      <w:r>
        <w:rPr>
          <w:rFonts w:ascii="Segoe UI" w:hAnsi="Segoe UI"/>
          <w:color w:val="0F172A"/>
          <w:sz w:val="18"/>
        </w:rPr>
        <w:t>Deployed OpenTelemetry collectors across EKS and Azure VMs; injected W3C trace context into Kafka message headers; defined core SLIs/SLOs.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Horizon 3 (Days 61–90: FinOps &amp; Governance): </w:t>
      </w:r>
      <w:r>
        <w:rPr>
          <w:rFonts w:ascii="Segoe UI" w:hAnsi="Segoe UI"/>
          <w:color w:val="0F172A"/>
          <w:sz w:val="18"/>
        </w:rPr>
        <w:t>Integrated automated data pipeline freshness checks; retired duplicate Splunk log streams; built Single-Pane Executive Health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MEASUREMENT INTEGRITY &amp; BENCHMARK CAVEAT</w:t>
              <w:br/>
            </w:r>
            <w:r>
              <w:rPr>
                <w:rFonts w:ascii="Segoe UI" w:hAnsi="Segoe UI"/>
                <w:color w:val="0F172A"/>
                <w:sz w:val="18"/>
              </w:rPr>
              <w:t>BENCHMARK METHODOLOGY &amp; CLIENT VALIDATION CAVEAT: Baseline metrics, alert reductions, and ROI figures in this case study reflect audited production data from a 90-day hybrid enterprise engagement. Projected financial returns and recovery metrics for prospective client environments are model estimates subject to baseline verification during the Phase-1 evidence sprint.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Cloud &amp; Hybrid Observability Value Blueprint | Sanitized Enterprise Study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ENTERPRISE RELIABILITY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