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2563EB"/>
          <w:sz w:val="18"/>
        </w:rPr>
        <w:t>VITHI ENTERPRISE CONSULTING — CRITICAL SERVICE &amp; DATA OBSERVABILITY PRACTICE</w:t>
      </w:r>
    </w:p>
    <w:p>
      <w:pPr>
        <w:spacing w:before="0" w:after="40"/>
      </w:pPr>
      <w:r>
        <w:rPr>
          <w:rFonts w:ascii="Segoe UI" w:hAnsi="Segoe UI"/>
          <w:b/>
          <w:color w:val="0F172A"/>
          <w:sz w:val="36"/>
        </w:rPr>
        <w:t>Critical Service &amp; Data Observability Readiness Assessment</w:t>
      </w:r>
    </w:p>
    <w:p>
      <w:pPr>
        <w:spacing w:before="0" w:after="160"/>
      </w:pPr>
      <w:r>
        <w:rPr>
          <w:rFonts w:ascii="Segoe UI" w:hAnsi="Segoe UI"/>
          <w:i/>
          <w:color w:val="334155"/>
          <w:sz w:val="21"/>
        </w:rPr>
        <w:t>Master Platform-Neutral Architecture, Multi-Cloud Scope, Data Pipelines, and Governance Guide</w:t>
      </w:r>
    </w:p>
    <w:tbl>
      <w:tblPr>
        <w:tblW w:type="auto" w:w="0"/>
        <w:jc w:val="center"/>
        <w:tblLook w:firstColumn="1" w:firstRow="1" w:lastColumn="0" w:lastRow="0" w:noHBand="0" w:noVBand="1" w:val="04A0"/>
      </w:tblPr>
      <w:tblGrid>
        <w:gridCol w:w="9936"/>
      </w:tblGrid>
      <w:tr>
        <w:tc>
          <w:tcPr>
            <w:tcW w:type="dxa" w:w="9936"/>
            <w:shd w:fill="DBEAFE"/>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Segoe UI" w:hAnsi="Segoe UI"/>
                <w:b/>
                <w:color w:val="1E3A8A"/>
                <w:sz w:val="19"/>
              </w:rPr>
              <w:t>OFFERING POSITIONING STATEMENT</w:t>
              <w:br/>
            </w:r>
            <w:r>
              <w:rPr>
                <w:rFonts w:ascii="Segoe UI" w:hAnsi="Segoe UI"/>
                <w:color w:val="0F172A"/>
                <w:sz w:val="18"/>
              </w:rPr>
              <w:t>"A focused, evidence-led diagnostic to assess whether critical services, data pipelines, dashboards and AI/data flows have the telemetry, correlation, SLOs, alert quality, incident evidence, ownership and cost controls needed to prevent business-impacting failures."</w:t>
            </w:r>
          </w:p>
        </w:tc>
      </w:tr>
    </w:tbl>
    <w:p>
      <w:pPr>
        <w:spacing w:after="60"/>
      </w:pPr>
    </w:p>
    <w:p>
      <w:pPr>
        <w:keepNext/>
        <w:spacing w:before="280" w:after="80"/>
      </w:pPr>
      <w:r>
        <w:rPr>
          <w:rFonts w:ascii="Segoe UI" w:hAnsi="Segoe UI"/>
          <w:b/>
          <w:color w:val="1E3A8A"/>
          <w:sz w:val="25"/>
        </w:rPr>
        <w:t>1. Master Structural Framework Architecture</w:t>
      </w:r>
    </w:p>
    <w:p>
      <w:pPr>
        <w:spacing w:before="0" w:after="60" w:line="276" w:lineRule="auto"/>
      </w:pPr>
      <w:r>
        <w:rPr>
          <w:rFonts w:ascii="Segoe UI" w:hAnsi="Segoe UI"/>
          <w:color w:val="0F172A"/>
          <w:sz w:val="19"/>
        </w:rPr>
        <w:t>Create a platform-neutral master offering and then create cloud-specific annexures. Recommended structure: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rPr>
          <w:tblHeader/>
          <w:cantSplit/>
        </w:trPr>
        <w:tc>
          <w:tcPr>
            <w:tcW w:type="dxa" w:w="4968"/>
            <w:shd w:fill="1E3A8A"/>
            <w:tcMar>
              <w:top w:w="120" w:type="dxa"/>
              <w:bottom w:w="120" w:type="dxa"/>
              <w:left w:w="140" w:type="dxa"/>
              <w:right w:w="140" w:type="dxa"/>
            </w:tcMar>
          </w:tcPr>
          <w:p>
            <w:pPr>
              <w:spacing w:before="0" w:after="0"/>
              <w:jc w:val="left"/>
            </w:pPr>
            <w:r>
              <w:rPr>
                <w:rFonts w:ascii="Segoe UI" w:hAnsi="Segoe UI"/>
                <w:b/>
                <w:color w:val="FFFFFF"/>
                <w:sz w:val="18"/>
              </w:rPr>
              <w:t>Layer</w:t>
            </w:r>
          </w:p>
        </w:tc>
        <w:tc>
          <w:tcPr>
            <w:tcW w:type="dxa" w:w="4968"/>
            <w:shd w:fill="1E3A8A"/>
            <w:tcMar>
              <w:top w:w="120" w:type="dxa"/>
              <w:bottom w:w="120" w:type="dxa"/>
              <w:left w:w="140" w:type="dxa"/>
              <w:right w:w="140" w:type="dxa"/>
            </w:tcMar>
          </w:tcPr>
          <w:p>
            <w:pPr>
              <w:spacing w:before="0" w:after="0"/>
              <w:jc w:val="left"/>
            </w:pPr>
            <w:r>
              <w:rPr>
                <w:rFonts w:ascii="Segoe UI" w:hAnsi="Segoe UI"/>
                <w:b/>
                <w:color w:val="FFFFFF"/>
                <w:sz w:val="18"/>
              </w:rPr>
              <w:t>Purpose</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Core Observability Readiness Framework</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Common assessment across any enterprise estate</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AWS Evidence Appendix</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CloudWatch, X-Ray, CUR, MWAA, AWS-native data sources</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Azure Evidence Appendix</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Azure Monitor, Application Insights, Log Analytics, Azure Data Factory, AKS</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GCP Evidence Appendix</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Cloud Monitoring, Cloud Logging, Cloud Trace, BigQuery, Composer, GKE</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Hybrid / On-Prem Appendix</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Splunk, Elastic, Prometheus, Grafana, OpenTelemetry, ServiceNow, Kubernetes, legacy apps</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Tool Vendor Appendix</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Datadog, Dynatrace, New Relic, Splunk, Elastic, Grafana Cloud, Monte Carlo, Bigeye, etc.</w:t>
            </w:r>
          </w:p>
        </w:tc>
      </w:tr>
    </w:tbl>
    <w:p>
      <w:pPr>
        <w:spacing w:after="40"/>
      </w:pPr>
    </w:p>
    <w:p>
      <w:pPr>
        <w:spacing w:before="0" w:after="60" w:line="276" w:lineRule="auto"/>
      </w:pPr>
      <w:r>
        <w:rPr>
          <w:rFonts w:ascii="Segoe UI" w:hAnsi="Segoe UI"/>
          <w:color w:val="0F172A"/>
          <w:sz w:val="19"/>
        </w:rPr>
        <w:t>This structural framework allows Vithi to cover AWS, Azure, GCP, hybrid, and tool-led environments seamlessly.</w:t>
      </w:r>
    </w:p>
    <w:p>
      <w:pPr>
        <w:keepNext/>
        <w:spacing w:before="280" w:after="80"/>
      </w:pPr>
      <w:r>
        <w:rPr>
          <w:rFonts w:ascii="Segoe UI" w:hAnsi="Segoe UI"/>
          <w:b/>
          <w:color w:val="1E3A8A"/>
          <w:sz w:val="25"/>
        </w:rPr>
        <w:t>2. Platform-Neutral Evidence Mapping &amp; Separate Platform Appendix</w:t>
      </w:r>
    </w:p>
    <w:p>
      <w:pPr>
        <w:spacing w:before="0" w:after="60" w:line="276" w:lineRule="auto"/>
      </w:pPr>
      <w:r>
        <w:rPr>
          <w:rFonts w:ascii="Segoe UI" w:hAnsi="Segoe UI"/>
          <w:color w:val="0F172A"/>
          <w:sz w:val="19"/>
        </w:rPr>
        <w:t>The current assessment preserves foundational operational dimensions (telemetry coverage, alert quality, SLO maturity, dashboard usefulness, incident response, logging cost, and audit evidence). To enable universal enterprise coverage, specific evidence columns are abstracted to platform-neutral evidence artifacts, supported by a dedicated platform-specific mapping appendix:</w:t>
      </w:r>
    </w:p>
    <w:p>
      <w:pPr>
        <w:keepNext/>
        <w:spacing w:before="200" w:after="60"/>
      </w:pPr>
      <w:r>
        <w:rPr>
          <w:rFonts w:ascii="Segoe UI" w:hAnsi="Segoe UI"/>
          <w:b/>
          <w:color w:val="334155"/>
          <w:sz w:val="21"/>
        </w:rPr>
        <w:t>2.1 Universal Platform-Neutral Evidence by Assessment Area</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rPr>
          <w:tblHeader/>
          <w:cantSplit/>
        </w:trPr>
        <w:tc>
          <w:tcPr>
            <w:tcW w:type="dxa" w:w="4968"/>
            <w:shd w:fill="1E3A8A"/>
            <w:tcMar>
              <w:top w:w="120" w:type="dxa"/>
              <w:bottom w:w="120" w:type="dxa"/>
              <w:left w:w="140" w:type="dxa"/>
              <w:right w:w="140" w:type="dxa"/>
            </w:tcMar>
          </w:tcPr>
          <w:p>
            <w:pPr>
              <w:spacing w:before="0" w:after="0"/>
              <w:jc w:val="left"/>
            </w:pPr>
            <w:r>
              <w:rPr>
                <w:rFonts w:ascii="Segoe UI" w:hAnsi="Segoe UI"/>
                <w:b/>
                <w:color w:val="FFFFFF"/>
                <w:sz w:val="18"/>
              </w:rPr>
              <w:t>Assessment Area</w:t>
            </w:r>
          </w:p>
        </w:tc>
        <w:tc>
          <w:tcPr>
            <w:tcW w:type="dxa" w:w="4968"/>
            <w:shd w:fill="1E3A8A"/>
            <w:tcMar>
              <w:top w:w="120" w:type="dxa"/>
              <w:bottom w:w="120" w:type="dxa"/>
              <w:left w:w="140" w:type="dxa"/>
              <w:right w:w="140" w:type="dxa"/>
            </w:tcMar>
          </w:tcPr>
          <w:p>
            <w:pPr>
              <w:spacing w:before="0" w:after="0"/>
              <w:jc w:val="left"/>
            </w:pPr>
            <w:r>
              <w:rPr>
                <w:rFonts w:ascii="Segoe UI" w:hAnsi="Segoe UI"/>
                <w:b/>
                <w:color w:val="FFFFFF"/>
                <w:sz w:val="18"/>
              </w:rPr>
              <w:t>Platform-Neutral Universal Evidence</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Estate Profile</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Service catalogue, CMDB, cloud account / subscription / project inventory, environment inventory</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Telemetry</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Logs, metrics, traces, events, OpenTelemetry, APM exports, monitoring dashboards</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Alerts</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Alert inventory, paging history, incident tickets, routing rules, escalation matrix</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SLOs</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SLI/SLO register, SLO dashboards, error-budget policy, service review notes</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Incidents</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Incident register, timelines, MTTD / MTTA / MTTR, RCA / PIR records, known-error database</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Dashboards</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Dashboard inventory, owner metadata, usage data, dashboard-as-code repository</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Cost</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Cloud billing exports, vendor invoices, log volume reports, telemetry retention configuration</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Audit</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Evidence pack, uptime reports, access reviews, incident evidence drill</w:t>
            </w:r>
          </w:p>
        </w:tc>
      </w:tr>
    </w:tbl>
    <w:p>
      <w:pPr>
        <w:spacing w:after="60"/>
      </w:pPr>
    </w:p>
    <w:p>
      <w:pPr>
        <w:keepNext/>
        <w:spacing w:before="200" w:after="60"/>
      </w:pPr>
      <w:r>
        <w:rPr>
          <w:rFonts w:ascii="Segoe UI" w:hAnsi="Segoe UI"/>
          <w:b/>
          <w:color w:val="334155"/>
          <w:sz w:val="21"/>
        </w:rPr>
        <w:t>2.2 Separate Platform Mapping Appendix</w:t>
      </w:r>
    </w:p>
    <w:p>
      <w:pPr>
        <w:spacing w:before="0" w:after="60" w:line="276" w:lineRule="auto"/>
      </w:pPr>
      <w:r>
        <w:rPr>
          <w:rFonts w:ascii="Segoe UI" w:hAnsi="Segoe UI"/>
          <w:color w:val="0F172A"/>
          <w:sz w:val="19"/>
        </w:rPr>
        <w:t>Concrete mapping of universal evidence disciplines to specific cloud providers, container runtimes, and commercial enterprise tools: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rPr>
          <w:tblHeader/>
          <w:cantSplit/>
        </w:trPr>
        <w:tc>
          <w:tcPr>
            <w:tcW w:type="dxa" w:w="4968"/>
            <w:shd w:fill="334155"/>
            <w:tcMar>
              <w:top w:w="120" w:type="dxa"/>
              <w:bottom w:w="120" w:type="dxa"/>
              <w:left w:w="140" w:type="dxa"/>
              <w:right w:w="140" w:type="dxa"/>
            </w:tcMar>
          </w:tcPr>
          <w:p>
            <w:pPr>
              <w:spacing w:before="0" w:after="0"/>
              <w:jc w:val="left"/>
            </w:pPr>
            <w:r>
              <w:rPr>
                <w:rFonts w:ascii="Segoe UI" w:hAnsi="Segoe UI"/>
                <w:b/>
                <w:color w:val="FFFFFF"/>
                <w:sz w:val="18"/>
              </w:rPr>
              <w:t>Platform / Technology Ecosystem</w:t>
            </w:r>
          </w:p>
        </w:tc>
        <w:tc>
          <w:tcPr>
            <w:tcW w:type="dxa" w:w="4968"/>
            <w:shd w:fill="334155"/>
            <w:tcMar>
              <w:top w:w="120" w:type="dxa"/>
              <w:bottom w:w="120" w:type="dxa"/>
              <w:left w:w="140" w:type="dxa"/>
              <w:right w:w="140" w:type="dxa"/>
            </w:tcMar>
          </w:tcPr>
          <w:p>
            <w:pPr>
              <w:spacing w:before="0" w:after="0"/>
              <w:jc w:val="left"/>
            </w:pPr>
            <w:r>
              <w:rPr>
                <w:rFonts w:ascii="Segoe UI" w:hAnsi="Segoe UI"/>
                <w:b/>
                <w:color w:val="FFFFFF"/>
                <w:sz w:val="18"/>
              </w:rPr>
              <w:t>Specific Evidence Examples &amp; Tool Sources</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1E3A8A"/>
                <w:sz w:val="17"/>
              </w:rPr>
              <w:t>AWS</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CloudWatch, X-Ray, CUR, EventBridge, SNS, Incident Manager</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1E3A8A"/>
                <w:sz w:val="17"/>
              </w:rPr>
              <w:t>Azure</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Azure Monitor, Application Insights, Log Analytics, Azure Cost Management, Azure DevOps</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1E3A8A"/>
                <w:sz w:val="17"/>
              </w:rPr>
              <w:t>GCP</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Cloud Monitoring, Cloud Logging, Cloud Trace, Cloud Billing, Error Reporting</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1E3A8A"/>
                <w:sz w:val="17"/>
              </w:rPr>
              <w:t>Kubernetes</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Prometheus, Grafana, Loki, Jaeger, OpenTelemetry Collector, service mesh telemetry</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1E3A8A"/>
                <w:sz w:val="17"/>
              </w:rPr>
              <w:t>Enterprise Tools</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Datadog, Dynatrace, New Relic, Splunk, Elastic, Grafana Cloud, ServiceNow, Jira</w:t>
            </w:r>
          </w:p>
        </w:tc>
      </w:tr>
    </w:tbl>
    <w:p>
      <w:pPr>
        <w:spacing w:after="60"/>
      </w:pPr>
    </w:p>
    <w:p>
      <w:pPr>
        <w:keepNext/>
        <w:spacing w:before="280" w:after="80"/>
      </w:pPr>
      <w:r>
        <w:rPr>
          <w:rFonts w:ascii="Segoe UI" w:hAnsi="Segoe UI"/>
          <w:b/>
          <w:color w:val="1E3A8A"/>
          <w:sz w:val="25"/>
        </w:rPr>
        <w:t>3. Observability Architecture &amp; Tooling Landscape</w:t>
      </w:r>
    </w:p>
    <w:p>
      <w:pPr>
        <w:spacing w:before="0" w:after="60" w:line="276" w:lineRule="auto"/>
      </w:pPr>
      <w:r>
        <w:rPr>
          <w:rFonts w:ascii="Segoe UI" w:hAnsi="Segoe UI"/>
          <w:color w:val="0F172A"/>
          <w:sz w:val="19"/>
        </w:rPr>
        <w:t>The broader offering must assess observability architecture, not only AWS services. These questions are added for this purpose:</w:t>
      </w:r>
    </w:p>
    <w:p>
      <w:pPr>
        <w:keepNext/>
        <w:spacing w:before="200" w:after="60"/>
      </w:pPr>
      <w:r>
        <w:rPr>
          <w:rFonts w:ascii="Segoe UI" w:hAnsi="Segoe UI"/>
          <w:b/>
          <w:color w:val="334155"/>
          <w:sz w:val="21"/>
        </w:rPr>
        <w:t>Architecture Diagnostic Inquiries:</w:t>
      </w:r>
    </w:p>
    <w:p>
      <w:pPr>
        <w:pStyle w:val="ListBullet"/>
        <w:spacing w:before="0" w:after="40" w:line="276" w:lineRule="auto"/>
      </w:pPr>
      <w:r>
        <w:rPr>
          <w:rFonts w:ascii="Segoe UI" w:hAnsi="Segoe UI"/>
          <w:color w:val="0F172A"/>
          <w:sz w:val="18"/>
        </w:rPr>
        <w:t>What tools are used for infrastructure, application, logs, metrics, traces, synthetics, RUM, data pipelines and AI workloads?</w:t>
      </w:r>
    </w:p>
    <w:p>
      <w:pPr>
        <w:pStyle w:val="ListBullet"/>
        <w:spacing w:before="0" w:after="40" w:line="276" w:lineRule="auto"/>
      </w:pPr>
      <w:r>
        <w:rPr>
          <w:rFonts w:ascii="Segoe UI" w:hAnsi="Segoe UI"/>
          <w:color w:val="0F172A"/>
          <w:sz w:val="18"/>
        </w:rPr>
        <w:t>Are logs, metrics and traces correlated through common service names, trace IDs, deployment IDs or business transaction IDs?</w:t>
      </w:r>
    </w:p>
    <w:p>
      <w:pPr>
        <w:pStyle w:val="ListBullet"/>
        <w:spacing w:before="0" w:after="40" w:line="276" w:lineRule="auto"/>
      </w:pPr>
      <w:r>
        <w:rPr>
          <w:rFonts w:ascii="Segoe UI" w:hAnsi="Segoe UI"/>
          <w:color w:val="0F172A"/>
          <w:sz w:val="18"/>
        </w:rPr>
        <w:t>Is there duplication across tools?</w:t>
      </w:r>
    </w:p>
    <w:p>
      <w:pPr>
        <w:pStyle w:val="ListBullet"/>
        <w:spacing w:before="0" w:after="40" w:line="276" w:lineRule="auto"/>
      </w:pPr>
      <w:r>
        <w:rPr>
          <w:rFonts w:ascii="Segoe UI" w:hAnsi="Segoe UI"/>
          <w:color w:val="0F172A"/>
          <w:sz w:val="18"/>
        </w:rPr>
        <w:t>Which tools are systems of record for incidents, SLOs, dashboards and audit evidence?</w:t>
      </w:r>
    </w:p>
    <w:p>
      <w:pPr>
        <w:pStyle w:val="ListBullet"/>
        <w:spacing w:before="0" w:after="40" w:line="276" w:lineRule="auto"/>
      </w:pPr>
      <w:r>
        <w:rPr>
          <w:rFonts w:ascii="Segoe UI" w:hAnsi="Segoe UI"/>
          <w:color w:val="0F172A"/>
          <w:sz w:val="18"/>
        </w:rPr>
        <w:t>Are dashboards and alerts tool-specific or standardized?</w:t>
      </w:r>
    </w:p>
    <w:p>
      <w:pPr>
        <w:pStyle w:val="ListBullet"/>
        <w:spacing w:before="0" w:after="40" w:line="276" w:lineRule="auto"/>
      </w:pPr>
      <w:r>
        <w:rPr>
          <w:rFonts w:ascii="Segoe UI" w:hAnsi="Segoe UI"/>
          <w:color w:val="0F172A"/>
          <w:sz w:val="18"/>
        </w:rPr>
        <w:t>Is OpenTelemetry used as a standard instrumentation layer?</w:t>
      </w:r>
    </w:p>
    <w:p>
      <w:pPr>
        <w:pStyle w:val="ListBullet"/>
        <w:spacing w:before="0" w:after="40" w:line="276" w:lineRule="auto"/>
      </w:pPr>
      <w:r>
        <w:rPr>
          <w:rFonts w:ascii="Segoe UI" w:hAnsi="Segoe UI"/>
          <w:color w:val="0F172A"/>
          <w:sz w:val="18"/>
        </w:rPr>
        <w:t>Are telemetry pipelines centralized or fragmented?</w:t>
      </w:r>
    </w:p>
    <w:p>
      <w:pPr>
        <w:pStyle w:val="ListBullet"/>
        <w:spacing w:before="0" w:after="40" w:line="276" w:lineRule="auto"/>
      </w:pPr>
      <w:r>
        <w:rPr>
          <w:rFonts w:ascii="Segoe UI" w:hAnsi="Segoe UI"/>
          <w:color w:val="0F172A"/>
          <w:sz w:val="18"/>
        </w:rPr>
        <w:t>Are tool costs visible and governed?</w:t>
      </w:r>
    </w:p>
    <w:p>
      <w:pPr>
        <w:keepNext/>
        <w:spacing w:before="200" w:after="60"/>
      </w:pPr>
      <w:r>
        <w:rPr>
          <w:rFonts w:ascii="Segoe UI" w:hAnsi="Segoe UI"/>
          <w:b/>
          <w:color w:val="334155"/>
          <w:sz w:val="21"/>
        </w:rPr>
        <w:t>Outputs — Additional Supporting Assets &amp; Deliverables for this Offering:</w:t>
      </w:r>
    </w:p>
    <w:p>
      <w:pPr>
        <w:pStyle w:val="ListBullet"/>
        <w:spacing w:before="0" w:after="40" w:line="276" w:lineRule="auto"/>
      </w:pPr>
      <w:r>
        <w:rPr>
          <w:rFonts w:ascii="Segoe UI" w:hAnsi="Segoe UI"/>
          <w:b/>
          <w:color w:val="0F172A"/>
          <w:sz w:val="18"/>
        </w:rPr>
        <w:t xml:space="preserve">1. Current Observability Tool Landscape Map: </w:t>
      </w:r>
      <w:r>
        <w:rPr>
          <w:rFonts w:ascii="Segoe UI" w:hAnsi="Segoe UI"/>
          <w:color w:val="0F172A"/>
          <w:sz w:val="18"/>
        </w:rPr>
        <w:t>Visual topology detailing all deployed agents, collectors, ingestion pipelines, and backends across cloud and hybrid environments.</w:t>
      </w:r>
    </w:p>
    <w:p>
      <w:pPr>
        <w:pStyle w:val="ListBullet"/>
        <w:spacing w:before="0" w:after="40" w:line="276" w:lineRule="auto"/>
      </w:pPr>
      <w:r>
        <w:rPr>
          <w:rFonts w:ascii="Segoe UI" w:hAnsi="Segoe UI"/>
          <w:b/>
          <w:color w:val="0F172A"/>
          <w:sz w:val="18"/>
        </w:rPr>
        <w:t xml:space="preserve">2. Tool Duplication / Gap Analysis: </w:t>
      </w:r>
      <w:r>
        <w:rPr>
          <w:rFonts w:ascii="Segoe UI" w:hAnsi="Segoe UI"/>
          <w:color w:val="0F172A"/>
          <w:sz w:val="18"/>
        </w:rPr>
        <w:t>Identifies functional redundancy, licensing waste (e.g. dual-indexing in Splunk and Datadog), and unmonitored blind spots.</w:t>
      </w:r>
    </w:p>
    <w:p>
      <w:pPr>
        <w:pStyle w:val="ListBullet"/>
        <w:spacing w:before="0" w:after="40" w:line="276" w:lineRule="auto"/>
      </w:pPr>
      <w:r>
        <w:rPr>
          <w:rFonts w:ascii="Segoe UI" w:hAnsi="Segoe UI"/>
          <w:b/>
          <w:color w:val="0F172A"/>
          <w:sz w:val="18"/>
        </w:rPr>
        <w:t xml:space="preserve">3. Reuse / Extend / Rationalize Recommendation: </w:t>
      </w:r>
      <w:r>
        <w:rPr>
          <w:rFonts w:ascii="Segoe UI" w:hAnsi="Segoe UI"/>
          <w:color w:val="0F172A"/>
          <w:sz w:val="18"/>
        </w:rPr>
        <w:t>Objective architectural guidance to retain, tune, decommission, or consolidate on open standards.</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Segoe UI" w:hAnsi="Segoe UI"/>
                <w:b/>
                <w:color w:val="1E3A8A"/>
                <w:sz w:val="19"/>
              </w:rPr>
              <w:t>TOOL-NEUTRAL POSITIONING MANDATE</w:t>
              <w:br/>
            </w:r>
            <w:r>
              <w:rPr>
                <w:rFonts w:ascii="Segoe UI" w:hAnsi="Segoe UI"/>
                <w:color w:val="0F172A"/>
                <w:sz w:val="18"/>
              </w:rPr>
              <w:t>STRATEGIC POSITIONING PRINCIPLE: This tool-agnostic architecture assessment is critical because many customers will already have tools. Vithi should not look like it is selling another tool. We evaluate whether your existing software investments are delivering ownership, correlation, SLOs, alert noise reduction, and business audit evidence.</w:t>
            </w:r>
          </w:p>
        </w:tc>
      </w:tr>
    </w:tbl>
    <w:p>
      <w:pPr>
        <w:spacing w:after="60"/>
      </w:pPr>
    </w:p>
    <w:p>
      <w:pPr>
        <w:keepNext/>
        <w:spacing w:before="280" w:after="80"/>
      </w:pPr>
      <w:r>
        <w:rPr>
          <w:rFonts w:ascii="Segoe UI" w:hAnsi="Segoe UI"/>
          <w:b/>
          <w:color w:val="1E3A8A"/>
          <w:sz w:val="25"/>
        </w:rPr>
        <w:t>4. Multi-Cloud &amp; Hybrid Scope Fields</w:t>
      </w:r>
    </w:p>
    <w:p>
      <w:pPr>
        <w:spacing w:before="0" w:after="60" w:line="276" w:lineRule="auto"/>
      </w:pPr>
      <w:r>
        <w:rPr>
          <w:rFonts w:ascii="Segoe UI" w:hAnsi="Segoe UI"/>
          <w:color w:val="0F172A"/>
          <w:sz w:val="19"/>
        </w:rPr>
        <w:t>The current documents ask for AWS accounts, regions and environments. For a broader offering, replace that with below fields for generic version: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rPr>
          <w:tblHeader/>
          <w:cantSplit/>
        </w:trPr>
        <w:tc>
          <w:tcPr>
            <w:tcW w:type="dxa" w:w="4968"/>
            <w:shd w:fill="1E3A8A"/>
            <w:tcMar>
              <w:top w:w="120" w:type="dxa"/>
              <w:bottom w:w="120" w:type="dxa"/>
              <w:left w:w="140" w:type="dxa"/>
              <w:right w:w="140" w:type="dxa"/>
            </w:tcMar>
          </w:tcPr>
          <w:p>
            <w:pPr>
              <w:spacing w:before="0" w:after="0"/>
              <w:jc w:val="left"/>
            </w:pPr>
            <w:r>
              <w:rPr>
                <w:rFonts w:ascii="Segoe UI" w:hAnsi="Segoe UI"/>
                <w:b/>
                <w:color w:val="FFFFFF"/>
                <w:sz w:val="18"/>
              </w:rPr>
              <w:t>Scope field</w:t>
            </w:r>
          </w:p>
        </w:tc>
        <w:tc>
          <w:tcPr>
            <w:tcW w:type="dxa" w:w="4968"/>
            <w:shd w:fill="1E3A8A"/>
            <w:tcMar>
              <w:top w:w="120" w:type="dxa"/>
              <w:bottom w:w="120" w:type="dxa"/>
              <w:left w:w="140" w:type="dxa"/>
              <w:right w:w="140" w:type="dxa"/>
            </w:tcMar>
          </w:tcPr>
          <w:p>
            <w:pPr>
              <w:spacing w:before="0" w:after="0"/>
              <w:jc w:val="left"/>
            </w:pPr>
            <w:r>
              <w:rPr>
                <w:rFonts w:ascii="Segoe UI" w:hAnsi="Segoe UI"/>
                <w:b/>
                <w:color w:val="FFFFFF"/>
                <w:sz w:val="18"/>
              </w:rPr>
              <w:t>Examples</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Cloud / hosting model</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AWS, Azure, GCP, on-prem, SaaS, hybrid</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Environment</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Prod, non-prod, DR, shared services</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Platform type</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VM, containers, serverless, managed PaaS, data platform</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Critical services</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Customer-facing apps, APIs, batch services, data pipelines</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Critical data flows</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ETL/ELT, streaming, reporting, AI/RAG flows</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Observability tools</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Cloud-native, open-source, enterprise APM, ITSM</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Incident tools</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ServiceNow, Jira, PagerDuty, Opsgenie, Teams/Slack</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Deployment tools</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GitHub Actions, Azure DevOps, Jenkins, GitLab, CodePipeline</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Business processes</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Finance close, claims, payments, order fulfillment, customer support</w:t>
            </w:r>
          </w:p>
        </w:tc>
      </w:tr>
    </w:tbl>
    <w:p>
      <w:pPr>
        <w:spacing w:after="60"/>
      </w:pPr>
    </w:p>
    <w:p>
      <w:pPr>
        <w:keepNext/>
        <w:spacing w:before="280" w:after="80"/>
      </w:pPr>
      <w:r>
        <w:rPr>
          <w:rFonts w:ascii="Segoe UI" w:hAnsi="Segoe UI"/>
          <w:b/>
          <w:color w:val="1E3A8A"/>
          <w:sz w:val="25"/>
        </w:rPr>
        <w:t>5. Data Product &amp; Pipeline Observability (Dimension O8)</w:t>
      </w:r>
    </w:p>
    <w:p>
      <w:pPr>
        <w:spacing w:before="0" w:after="60" w:line="276" w:lineRule="auto"/>
      </w:pPr>
      <w:r>
        <w:rPr>
          <w:rFonts w:ascii="Segoe UI" w:hAnsi="Segoe UI"/>
          <w:color w:val="0F172A"/>
          <w:sz w:val="19"/>
        </w:rPr>
        <w:t>This is the biggest addition if Vithi wants differentiation. So we add Data Product &amp; Pipeline Observability to avoid competing directly with Dynatrace / Datadog / New Relic on pure APM:</w:t>
      </w:r>
    </w:p>
    <w:p>
      <w:pPr>
        <w:keepNext/>
        <w:spacing w:before="200" w:after="60"/>
      </w:pPr>
      <w:r>
        <w:rPr>
          <w:rFonts w:ascii="Segoe UI" w:hAnsi="Segoe UI"/>
          <w:b/>
          <w:color w:val="334155"/>
          <w:sz w:val="21"/>
        </w:rPr>
        <w:t>Diagnostic Questions:</w:t>
      </w:r>
    </w:p>
    <w:p>
      <w:pPr>
        <w:pStyle w:val="ListBullet"/>
        <w:spacing w:before="0" w:after="40" w:line="276" w:lineRule="auto"/>
      </w:pPr>
      <w:r>
        <w:rPr>
          <w:rFonts w:ascii="Segoe UI" w:hAnsi="Segoe UI"/>
          <w:color w:val="0F172A"/>
          <w:sz w:val="18"/>
        </w:rPr>
        <w:t>What percentage of critical data pipelines have freshness SLAs?</w:t>
      </w:r>
    </w:p>
    <w:p>
      <w:pPr>
        <w:pStyle w:val="ListBullet"/>
        <w:spacing w:before="0" w:after="40" w:line="276" w:lineRule="auto"/>
      </w:pPr>
      <w:r>
        <w:rPr>
          <w:rFonts w:ascii="Segoe UI" w:hAnsi="Segoe UI"/>
          <w:color w:val="0F172A"/>
          <w:sz w:val="18"/>
        </w:rPr>
        <w:t>Are data volume, schema, freshness, nulls, duplicates and quality rules monitored?</w:t>
      </w:r>
    </w:p>
    <w:p>
      <w:pPr>
        <w:pStyle w:val="ListBullet"/>
        <w:spacing w:before="0" w:after="40" w:line="276" w:lineRule="auto"/>
      </w:pPr>
      <w:r>
        <w:rPr>
          <w:rFonts w:ascii="Segoe UI" w:hAnsi="Segoe UI"/>
          <w:color w:val="0F172A"/>
          <w:sz w:val="18"/>
        </w:rPr>
        <w:t>Are data-quality failures linked to incidents?</w:t>
      </w:r>
    </w:p>
    <w:p>
      <w:pPr>
        <w:pStyle w:val="ListBullet"/>
        <w:spacing w:before="0" w:after="40" w:line="276" w:lineRule="auto"/>
      </w:pPr>
      <w:r>
        <w:rPr>
          <w:rFonts w:ascii="Segoe UI" w:hAnsi="Segoe UI"/>
          <w:color w:val="0F172A"/>
          <w:sz w:val="18"/>
        </w:rPr>
        <w:t>Can a dashboard discrepancy be traced to source, pipeline, transformation or consumption layer?</w:t>
      </w:r>
    </w:p>
    <w:p>
      <w:pPr>
        <w:pStyle w:val="ListBullet"/>
        <w:spacing w:before="0" w:after="40" w:line="276" w:lineRule="auto"/>
      </w:pPr>
      <w:r>
        <w:rPr>
          <w:rFonts w:ascii="Segoe UI" w:hAnsi="Segoe UI"/>
          <w:color w:val="0F172A"/>
          <w:sz w:val="18"/>
        </w:rPr>
        <w:t>Are lineage and ownership available during triage?</w:t>
      </w:r>
    </w:p>
    <w:p>
      <w:pPr>
        <w:pStyle w:val="ListBullet"/>
        <w:spacing w:before="0" w:after="40" w:line="276" w:lineRule="auto"/>
      </w:pPr>
      <w:r>
        <w:rPr>
          <w:rFonts w:ascii="Segoe UI" w:hAnsi="Segoe UI"/>
          <w:color w:val="0F172A"/>
          <w:sz w:val="18"/>
        </w:rPr>
        <w:t>Are critical data products assigned business and technical owners?</w:t>
      </w:r>
    </w:p>
    <w:p>
      <w:pPr>
        <w:pStyle w:val="ListBullet"/>
        <w:spacing w:before="0" w:after="40" w:line="276" w:lineRule="auto"/>
      </w:pPr>
      <w:r>
        <w:rPr>
          <w:rFonts w:ascii="Segoe UI" w:hAnsi="Segoe UI"/>
          <w:color w:val="0F172A"/>
          <w:sz w:val="18"/>
        </w:rPr>
        <w:t>Are AI/RAG data sources monitored for freshness, quality and access risk?</w:t>
      </w:r>
    </w:p>
    <w:p>
      <w:pPr>
        <w:keepNext/>
        <w:spacing w:before="200" w:after="60"/>
      </w:pPr>
      <w:r>
        <w:rPr>
          <w:rFonts w:ascii="Segoe UI" w:hAnsi="Segoe UI"/>
          <w:b/>
          <w:color w:val="334155"/>
          <w:sz w:val="21"/>
        </w:rPr>
        <w:t>Outputs — Additional Supporting Assets &amp; Deliverables for this Offering:</w:t>
      </w:r>
    </w:p>
    <w:p>
      <w:pPr>
        <w:pStyle w:val="ListBullet"/>
        <w:spacing w:before="0" w:after="40" w:line="276" w:lineRule="auto"/>
      </w:pPr>
      <w:r>
        <w:rPr>
          <w:rFonts w:ascii="Segoe UI" w:hAnsi="Segoe UI"/>
          <w:b/>
          <w:color w:val="0F172A"/>
          <w:sz w:val="18"/>
        </w:rPr>
        <w:t xml:space="preserve">• Data observability coverage heatmap: </w:t>
      </w:r>
      <w:r>
        <w:rPr>
          <w:rFonts w:ascii="Segoe UI" w:hAnsi="Segoe UI"/>
          <w:color w:val="0F172A"/>
          <w:sz w:val="18"/>
        </w:rPr>
        <w:t>Visual matrix mapping pipeline health across Airflow, Glue, dbt, Spark, and Snowflake.</w:t>
      </w:r>
    </w:p>
    <w:p>
      <w:pPr>
        <w:pStyle w:val="ListBullet"/>
        <w:spacing w:before="0" w:after="40" w:line="276" w:lineRule="auto"/>
      </w:pPr>
      <w:r>
        <w:rPr>
          <w:rFonts w:ascii="Segoe UI" w:hAnsi="Segoe UI"/>
          <w:b/>
          <w:color w:val="0F172A"/>
          <w:sz w:val="18"/>
        </w:rPr>
        <w:t xml:space="preserve">• Critical data product health map: </w:t>
      </w:r>
      <w:r>
        <w:rPr>
          <w:rFonts w:ascii="Segoe UI" w:hAnsi="Segoe UI"/>
          <w:color w:val="0F172A"/>
          <w:sz w:val="18"/>
        </w:rPr>
        <w:t>Status tracking across data freshness, schema stability, volume consistency, and error rates.</w:t>
      </w:r>
    </w:p>
    <w:p>
      <w:pPr>
        <w:pStyle w:val="ListBullet"/>
        <w:spacing w:before="0" w:after="40" w:line="276" w:lineRule="auto"/>
      </w:pPr>
      <w:r>
        <w:rPr>
          <w:rFonts w:ascii="Segoe UI" w:hAnsi="Segoe UI"/>
          <w:b/>
          <w:color w:val="0F172A"/>
          <w:sz w:val="18"/>
        </w:rPr>
        <w:t xml:space="preserve">• Dashboard trust issue map: </w:t>
      </w:r>
      <w:r>
        <w:rPr>
          <w:rFonts w:ascii="Segoe UI" w:hAnsi="Segoe UI"/>
          <w:color w:val="0F172A"/>
          <w:sz w:val="18"/>
        </w:rPr>
        <w:t>Traces downstream executive BI reports back to raw ingestion pipelines to isolate discrepancies.</w:t>
      </w:r>
    </w:p>
    <w:p>
      <w:pPr>
        <w:pStyle w:val="ListBullet"/>
        <w:spacing w:before="0" w:after="40" w:line="276" w:lineRule="auto"/>
      </w:pPr>
      <w:r>
        <w:rPr>
          <w:rFonts w:ascii="Segoe UI" w:hAnsi="Segoe UI"/>
          <w:b/>
          <w:color w:val="0F172A"/>
          <w:sz w:val="18"/>
        </w:rPr>
        <w:t xml:space="preserve">• Data incident workflow: </w:t>
      </w:r>
      <w:r>
        <w:rPr>
          <w:rFonts w:ascii="Segoe UI" w:hAnsi="Segoe UI"/>
          <w:color w:val="0F172A"/>
          <w:sz w:val="18"/>
        </w:rPr>
        <w:t>Standardized protocol routing data anomalies to data engineering with automated severity tags.</w:t>
      </w:r>
    </w:p>
    <w:p>
      <w:pPr>
        <w:pStyle w:val="ListBullet"/>
        <w:spacing w:before="0" w:after="40" w:line="276" w:lineRule="auto"/>
      </w:pPr>
      <w:r>
        <w:rPr>
          <w:rFonts w:ascii="Segoe UI" w:hAnsi="Segoe UI"/>
          <w:b/>
          <w:color w:val="0F172A"/>
          <w:sz w:val="18"/>
        </w:rPr>
        <w:t xml:space="preserve">• Data pipeline SLO maturity: </w:t>
      </w:r>
      <w:r>
        <w:rPr>
          <w:rFonts w:ascii="Segoe UI" w:hAnsi="Segoe UI"/>
          <w:color w:val="0F172A"/>
          <w:sz w:val="18"/>
        </w:rPr>
        <w:t>Defines SLIs/SLOs for data batch freshness and ingestion latency with error budget policies.</w:t>
      </w:r>
    </w:p>
    <w:p>
      <w:pPr>
        <w:pStyle w:val="ListBullet"/>
        <w:spacing w:before="0" w:after="40" w:line="276" w:lineRule="auto"/>
      </w:pPr>
      <w:r>
        <w:rPr>
          <w:rFonts w:ascii="Segoe UI" w:hAnsi="Segoe UI"/>
          <w:b/>
          <w:color w:val="0F172A"/>
          <w:sz w:val="18"/>
        </w:rPr>
        <w:t xml:space="preserve">• AI/RAG data-flow observability gap map: </w:t>
      </w:r>
      <w:r>
        <w:rPr>
          <w:rFonts w:ascii="Segoe UI" w:hAnsi="Segoe UI"/>
          <w:color w:val="0F172A"/>
          <w:sz w:val="18"/>
        </w:rPr>
        <w:t>Identifies telemetry blind spots across vector databases, chunking pipelines, and LLM context stores.</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Segoe UI" w:hAnsi="Segoe UI"/>
                <w:b/>
                <w:color w:val="1E3A8A"/>
                <w:sz w:val="19"/>
              </w:rPr>
              <w:t>DIFFERENTIATION MANDATE — DATA PRODUCT OBSERVABILITY</w:t>
              <w:br/>
            </w:r>
            <w:r>
              <w:rPr>
                <w:rFonts w:ascii="Segoe UI" w:hAnsi="Segoe UI"/>
                <w:color w:val="0F172A"/>
                <w:sz w:val="18"/>
              </w:rPr>
              <w:t>STRATEGIC ADVANTAGE: This is the biggest addition if Vithi wants differentiation. This is how Vithi avoids competing directly with Dynatrace / Datadog / New Relic on pure APM. While product vendors focus narrowly on host agents and container traces, Vithi audits the end-to-end health of critical data pipelines, business data products, and executive dashboards.</w:t>
            </w:r>
          </w:p>
        </w:tc>
      </w:tr>
    </w:tbl>
    <w:p>
      <w:pPr>
        <w:spacing w:after="60"/>
      </w:pPr>
    </w:p>
    <w:p>
      <w:pPr>
        <w:keepNext/>
        <w:spacing w:before="280" w:after="80"/>
      </w:pPr>
      <w:r>
        <w:rPr>
          <w:rFonts w:ascii="Segoe UI" w:hAnsi="Segoe UI"/>
          <w:b/>
          <w:color w:val="1E3A8A"/>
          <w:sz w:val="25"/>
        </w:rPr>
        <w:t>6. AI / GenAI / Agent Observability Extension (Dimension O10)</w:t>
      </w:r>
    </w:p>
    <w:p>
      <w:pPr>
        <w:spacing w:before="0" w:after="60" w:line="276" w:lineRule="auto"/>
      </w:pPr>
      <w:r>
        <w:rPr>
          <w:rFonts w:ascii="Segoe UI" w:hAnsi="Segoe UI"/>
          <w:color w:val="0F172A"/>
          <w:sz w:val="19"/>
        </w:rPr>
        <w:t>The current one-pager mentions AIOps correlation, anomaly detection and GenAI incident summaries. That is good, but for a broader offering, make it an optional module:</w:t>
      </w:r>
    </w:p>
    <w:p>
      <w:pPr>
        <w:keepNext/>
        <w:spacing w:before="200" w:after="60"/>
      </w:pPr>
      <w:r>
        <w:rPr>
          <w:rFonts w:ascii="Segoe UI" w:hAnsi="Segoe UI"/>
          <w:b/>
          <w:color w:val="334155"/>
          <w:sz w:val="21"/>
        </w:rPr>
        <w:t>AI / GenAI / Agent Observability Extension — Key Assessment Areas:</w:t>
      </w:r>
    </w:p>
    <w:p>
      <w:pPr>
        <w:pStyle w:val="ListBullet"/>
        <w:spacing w:before="0" w:after="40" w:line="276" w:lineRule="auto"/>
      </w:pPr>
      <w:r>
        <w:rPr>
          <w:rFonts w:ascii="Segoe UI" w:hAnsi="Segoe UI"/>
          <w:b/>
          <w:color w:val="0F172A"/>
          <w:sz w:val="18"/>
        </w:rPr>
        <w:t xml:space="preserve">• model/API latency: </w:t>
      </w:r>
      <w:r>
        <w:rPr>
          <w:rFonts w:ascii="Segoe UI" w:hAnsi="Segoe UI"/>
          <w:color w:val="0F172A"/>
          <w:sz w:val="18"/>
        </w:rPr>
        <w:t>Tracking Time-to-First-Token (TTFT), token generation throughput, and API endpoint response times.</w:t>
      </w:r>
    </w:p>
    <w:p>
      <w:pPr>
        <w:pStyle w:val="ListBullet"/>
        <w:spacing w:before="0" w:after="40" w:line="276" w:lineRule="auto"/>
      </w:pPr>
      <w:r>
        <w:rPr>
          <w:rFonts w:ascii="Segoe UI" w:hAnsi="Segoe UI"/>
          <w:b/>
          <w:color w:val="0F172A"/>
          <w:sz w:val="18"/>
        </w:rPr>
        <w:t xml:space="preserve">• token/inference cost: </w:t>
      </w:r>
      <w:r>
        <w:rPr>
          <w:rFonts w:ascii="Segoe UI" w:hAnsi="Segoe UI"/>
          <w:color w:val="0F172A"/>
          <w:sz w:val="18"/>
        </w:rPr>
        <w:t>Monitoring token consumption across prompt and completion tokens, model costs, and caching efficiency.</w:t>
      </w:r>
    </w:p>
    <w:p>
      <w:pPr>
        <w:pStyle w:val="ListBullet"/>
        <w:spacing w:before="0" w:after="40" w:line="276" w:lineRule="auto"/>
      </w:pPr>
      <w:r>
        <w:rPr>
          <w:rFonts w:ascii="Segoe UI" w:hAnsi="Segoe UI"/>
          <w:b/>
          <w:color w:val="0F172A"/>
          <w:sz w:val="18"/>
        </w:rPr>
        <w:t xml:space="preserve">• prompt-flow traces: </w:t>
      </w:r>
      <w:r>
        <w:rPr>
          <w:rFonts w:ascii="Segoe UI" w:hAnsi="Segoe UI"/>
          <w:color w:val="0F172A"/>
          <w:sz w:val="18"/>
        </w:rPr>
        <w:t>End-to-end distributed tracing across prompt templates, retrieval chains, and LLM calls.</w:t>
      </w:r>
    </w:p>
    <w:p>
      <w:pPr>
        <w:pStyle w:val="ListBullet"/>
        <w:spacing w:before="0" w:after="40" w:line="276" w:lineRule="auto"/>
      </w:pPr>
      <w:r>
        <w:rPr>
          <w:rFonts w:ascii="Segoe UI" w:hAnsi="Segoe UI"/>
          <w:b/>
          <w:color w:val="0F172A"/>
          <w:sz w:val="18"/>
        </w:rPr>
        <w:t xml:space="preserve">• RAG retrieval quality: </w:t>
      </w:r>
      <w:r>
        <w:rPr>
          <w:rFonts w:ascii="Segoe UI" w:hAnsi="Segoe UI"/>
          <w:color w:val="0F172A"/>
          <w:sz w:val="18"/>
        </w:rPr>
        <w:t>Evaluating retrieval context precision, recall, chunk relevance, and vector similarity scores.</w:t>
      </w:r>
    </w:p>
    <w:p>
      <w:pPr>
        <w:pStyle w:val="ListBullet"/>
        <w:spacing w:before="0" w:after="40" w:line="276" w:lineRule="auto"/>
      </w:pPr>
      <w:r>
        <w:rPr>
          <w:rFonts w:ascii="Segoe UI" w:hAnsi="Segoe UI"/>
          <w:b/>
          <w:color w:val="0F172A"/>
          <w:sz w:val="18"/>
        </w:rPr>
        <w:t xml:space="preserve">• embedding/vector store health: </w:t>
      </w:r>
      <w:r>
        <w:rPr>
          <w:rFonts w:ascii="Segoe UI" w:hAnsi="Segoe UI"/>
          <w:color w:val="0F172A"/>
          <w:sz w:val="18"/>
        </w:rPr>
        <w:t>Monitoring query latency, embedding model drift, index fragmentation, and vector DB uptime.</w:t>
      </w:r>
    </w:p>
    <w:p>
      <w:pPr>
        <w:pStyle w:val="ListBullet"/>
        <w:spacing w:before="0" w:after="40" w:line="276" w:lineRule="auto"/>
      </w:pPr>
      <w:r>
        <w:rPr>
          <w:rFonts w:ascii="Segoe UI" w:hAnsi="Segoe UI"/>
          <w:b/>
          <w:color w:val="0F172A"/>
          <w:sz w:val="18"/>
        </w:rPr>
        <w:t xml:space="preserve">• hallucination/safety monitoring: </w:t>
      </w:r>
      <w:r>
        <w:rPr>
          <w:rFonts w:ascii="Segoe UI" w:hAnsi="Segoe UI"/>
          <w:color w:val="0F172A"/>
          <w:sz w:val="18"/>
        </w:rPr>
        <w:t>Automated scoring of factual grounding, toxicity, jailbreak attempts, and prompt injection.</w:t>
      </w:r>
    </w:p>
    <w:p>
      <w:pPr>
        <w:pStyle w:val="ListBullet"/>
        <w:spacing w:before="0" w:after="40" w:line="276" w:lineRule="auto"/>
      </w:pPr>
      <w:r>
        <w:rPr>
          <w:rFonts w:ascii="Segoe UI" w:hAnsi="Segoe UI"/>
          <w:b/>
          <w:color w:val="0F172A"/>
          <w:sz w:val="18"/>
        </w:rPr>
        <w:t xml:space="preserve">• guardrail violations: </w:t>
      </w:r>
      <w:r>
        <w:rPr>
          <w:rFonts w:ascii="Segoe UI" w:hAnsi="Segoe UI"/>
          <w:color w:val="0F172A"/>
          <w:sz w:val="18"/>
        </w:rPr>
        <w:t>Alerting on policy violations, PII leakage detection, and automated output filtering triggers.</w:t>
      </w:r>
    </w:p>
    <w:p>
      <w:pPr>
        <w:pStyle w:val="ListBullet"/>
        <w:spacing w:before="0" w:after="40" w:line="276" w:lineRule="auto"/>
      </w:pPr>
      <w:r>
        <w:rPr>
          <w:rFonts w:ascii="Segoe UI" w:hAnsi="Segoe UI"/>
          <w:b/>
          <w:color w:val="0F172A"/>
          <w:sz w:val="18"/>
        </w:rPr>
        <w:t xml:space="preserve">• agent tool-call traces: </w:t>
      </w:r>
      <w:r>
        <w:rPr>
          <w:rFonts w:ascii="Segoe UI" w:hAnsi="Segoe UI"/>
          <w:color w:val="0F172A"/>
          <w:sz w:val="18"/>
        </w:rPr>
        <w:t>Tracing autonomous agent tool calls, API parameters, retries, and execution loops.</w:t>
      </w:r>
    </w:p>
    <w:p>
      <w:pPr>
        <w:pStyle w:val="ListBullet"/>
        <w:spacing w:before="0" w:after="40" w:line="276" w:lineRule="auto"/>
      </w:pPr>
      <w:r>
        <w:rPr>
          <w:rFonts w:ascii="Segoe UI" w:hAnsi="Segoe UI"/>
          <w:b/>
          <w:color w:val="0F172A"/>
          <w:sz w:val="18"/>
        </w:rPr>
        <w:t xml:space="preserve">• human approval gates: </w:t>
      </w:r>
      <w:r>
        <w:rPr>
          <w:rFonts w:ascii="Segoe UI" w:hAnsi="Segoe UI"/>
          <w:color w:val="0F172A"/>
          <w:sz w:val="18"/>
        </w:rPr>
        <w:t>Tracking review queue latency, human intervention rates, and approval/rejection audit logs.</w:t>
      </w:r>
    </w:p>
    <w:p>
      <w:pPr>
        <w:pStyle w:val="ListBullet"/>
        <w:spacing w:before="0" w:after="40" w:line="276" w:lineRule="auto"/>
      </w:pPr>
      <w:r>
        <w:rPr>
          <w:rFonts w:ascii="Segoe UI" w:hAnsi="Segoe UI"/>
          <w:b/>
          <w:color w:val="0F172A"/>
          <w:sz w:val="18"/>
        </w:rPr>
        <w:t xml:space="preserve">• AI incident workflow: </w:t>
      </w:r>
      <w:r>
        <w:rPr>
          <w:rFonts w:ascii="Segoe UI" w:hAnsi="Segoe UI"/>
          <w:color w:val="0F172A"/>
          <w:sz w:val="18"/>
        </w:rPr>
        <w:t>Structured severity classification and automated routing for model degradation and safety failures.</w:t>
      </w:r>
    </w:p>
    <w:p>
      <w:pPr>
        <w:pStyle w:val="ListBullet"/>
        <w:spacing w:before="0" w:after="40" w:line="276" w:lineRule="auto"/>
      </w:pPr>
      <w:r>
        <w:rPr>
          <w:rFonts w:ascii="Segoe UI" w:hAnsi="Segoe UI"/>
          <w:b/>
          <w:color w:val="0F172A"/>
          <w:sz w:val="18"/>
        </w:rPr>
        <w:t xml:space="preserve">• audit trail for AI-generated actions: </w:t>
      </w:r>
      <w:r>
        <w:rPr>
          <w:rFonts w:ascii="Segoe UI" w:hAnsi="Segoe UI"/>
          <w:color w:val="0F172A"/>
          <w:sz w:val="18"/>
        </w:rPr>
        <w:t>Tamper-proof logging of user prompts, model versions, system configurations, and AI decisions.</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Segoe UI" w:hAnsi="Segoe UI"/>
                <w:b/>
                <w:color w:val="1E3A8A"/>
                <w:sz w:val="19"/>
              </w:rPr>
              <w:t>AI / GENAI EXTENSION SCOPE APPLICABILITY</w:t>
              <w:br/>
            </w:r>
            <w:r>
              <w:rPr>
                <w:rFonts w:ascii="Segoe UI" w:hAnsi="Segoe UI"/>
                <w:color w:val="0F172A"/>
                <w:sz w:val="18"/>
              </w:rPr>
              <w:t>OPTIONAL SCOPE APPLICATION: AI observability extension is applicable only where AI / GenAI / RAG / agentic workloads are in scope. This shows our broader coverage of the Observability offering without burdening traditional IT environments.</w:t>
            </w:r>
          </w:p>
        </w:tc>
      </w:tr>
    </w:tbl>
    <w:p>
      <w:pPr>
        <w:spacing w:after="60"/>
      </w:pPr>
    </w:p>
    <w:p>
      <w:pPr>
        <w:keepNext/>
        <w:spacing w:before="280" w:after="80"/>
      </w:pPr>
      <w:r>
        <w:rPr>
          <w:rFonts w:ascii="Segoe UI" w:hAnsi="Segoe UI"/>
          <w:b/>
          <w:color w:val="1E3A8A"/>
          <w:sz w:val="25"/>
        </w:rPr>
        <w:t>7. Kubernetes &amp; Container Observability</w:t>
      </w:r>
    </w:p>
    <w:p>
      <w:pPr>
        <w:spacing w:before="0" w:after="60" w:line="276" w:lineRule="auto"/>
      </w:pPr>
      <w:r>
        <w:rPr>
          <w:rFonts w:ascii="Segoe UI" w:hAnsi="Segoe UI"/>
          <w:color w:val="0F172A"/>
          <w:sz w:val="19"/>
        </w:rPr>
        <w:t>For non-AWS or multi-cloud customers, Kubernetes will come up often. Hence we add a comprehensive Kubernetes &amp; Container Observability diagnostic dimension covering both infrastructure control planes and containerized microservice runtimes:</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Segoe UI" w:hAnsi="Segoe UI"/>
                <w:b/>
                <w:color w:val="1E3A8A"/>
                <w:sz w:val="19"/>
              </w:rPr>
              <w:t>KUBERNETES &amp; CONTAINER OBSERVABILITY MANDATE</w:t>
              <w:br/>
            </w:r>
            <w:r>
              <w:rPr>
                <w:rFonts w:ascii="Segoe UI" w:hAnsi="Segoe UI"/>
                <w:color w:val="0F172A"/>
                <w:sz w:val="18"/>
              </w:rPr>
              <w:t>MULTI-CLOUD &amp; HYBRID MANDATE: In enterprise multi-cloud and hybrid environments, Kubernetes (EKS, AKS, GKE, OpenShift, on-premises K8s) serves as the primary compute substrate. The diagnostic assesses whether platform and application engineering have unified visibility from the cluster control plane down to individual container pods, sidecar proxies, and distributed traces.</w:t>
            </w:r>
          </w:p>
        </w:tc>
      </w:tr>
    </w:tbl>
    <w:p>
      <w:pPr>
        <w:spacing w:after="60"/>
      </w:pPr>
    </w:p>
    <w:p>
      <w:pPr>
        <w:keepNext/>
        <w:spacing w:before="200" w:after="60"/>
      </w:pPr>
      <w:r>
        <w:rPr>
          <w:rFonts w:ascii="Segoe UI" w:hAnsi="Segoe UI"/>
          <w:b/>
          <w:color w:val="334155"/>
          <w:sz w:val="21"/>
        </w:rPr>
        <w:t>Key Assessment Areas (12 Core Signals):</w:t>
      </w:r>
    </w:p>
    <w:p>
      <w:pPr>
        <w:pStyle w:val="ListBullet"/>
        <w:spacing w:before="0" w:after="40" w:line="276" w:lineRule="auto"/>
      </w:pPr>
      <w:r>
        <w:rPr>
          <w:rFonts w:ascii="Segoe UI" w:hAnsi="Segoe UI"/>
          <w:b/>
          <w:color w:val="0F172A"/>
          <w:sz w:val="18"/>
        </w:rPr>
        <w:t xml:space="preserve">• cluster health: </w:t>
      </w:r>
      <w:r>
        <w:rPr>
          <w:rFonts w:ascii="Segoe UI" w:hAnsi="Segoe UI"/>
          <w:color w:val="0F172A"/>
          <w:sz w:val="18"/>
        </w:rPr>
        <w:t>API server latency, etcd quorum health, controller manager status, and Kubelet heartbeat stability.</w:t>
      </w:r>
    </w:p>
    <w:p>
      <w:pPr>
        <w:pStyle w:val="ListBullet"/>
        <w:spacing w:before="0" w:after="40" w:line="276" w:lineRule="auto"/>
      </w:pPr>
      <w:r>
        <w:rPr>
          <w:rFonts w:ascii="Segoe UI" w:hAnsi="Segoe UI"/>
          <w:b/>
          <w:color w:val="0F172A"/>
          <w:sz w:val="18"/>
        </w:rPr>
        <w:t xml:space="preserve">• node/pod/container metrics: </w:t>
      </w:r>
      <w:r>
        <w:rPr>
          <w:rFonts w:ascii="Segoe UI" w:hAnsi="Segoe UI"/>
          <w:color w:val="0F172A"/>
          <w:sz w:val="18"/>
        </w:rPr>
        <w:t>cAdvisor telemetry, CPU throttling, memory working sets, and node disk/network I/O saturation.</w:t>
      </w:r>
    </w:p>
    <w:p>
      <w:pPr>
        <w:pStyle w:val="ListBullet"/>
        <w:spacing w:before="0" w:after="40" w:line="276" w:lineRule="auto"/>
      </w:pPr>
      <w:r>
        <w:rPr>
          <w:rFonts w:ascii="Segoe UI" w:hAnsi="Segoe UI"/>
          <w:b/>
          <w:color w:val="0F172A"/>
          <w:sz w:val="18"/>
        </w:rPr>
        <w:t xml:space="preserve">• deployment health: </w:t>
      </w:r>
      <w:r>
        <w:rPr>
          <w:rFonts w:ascii="Segoe UI" w:hAnsi="Segoe UI"/>
          <w:color w:val="0F172A"/>
          <w:sz w:val="18"/>
        </w:rPr>
        <w:t>Rolling update status, replica set drift, CrashLoopBackOff frequencies, and OOMKilled container terminations.</w:t>
      </w:r>
    </w:p>
    <w:p>
      <w:pPr>
        <w:pStyle w:val="ListBullet"/>
        <w:spacing w:before="0" w:after="40" w:line="276" w:lineRule="auto"/>
      </w:pPr>
      <w:r>
        <w:rPr>
          <w:rFonts w:ascii="Segoe UI" w:hAnsi="Segoe UI"/>
          <w:b/>
          <w:color w:val="0F172A"/>
          <w:sz w:val="18"/>
        </w:rPr>
        <w:t xml:space="preserve">• container logs: </w:t>
      </w:r>
      <w:r>
        <w:rPr>
          <w:rFonts w:ascii="Segoe UI" w:hAnsi="Segoe UI"/>
          <w:color w:val="0F172A"/>
          <w:sz w:val="18"/>
        </w:rPr>
        <w:t>Standardized JSON stdout/stderr formatting, multiline stack trace parsing, and edge filtering via Vector/FluentBit.</w:t>
      </w:r>
    </w:p>
    <w:p>
      <w:pPr>
        <w:pStyle w:val="ListBullet"/>
        <w:spacing w:before="0" w:after="40" w:line="276" w:lineRule="auto"/>
      </w:pPr>
      <w:r>
        <w:rPr>
          <w:rFonts w:ascii="Segoe UI" w:hAnsi="Segoe UI"/>
          <w:b/>
          <w:color w:val="0F172A"/>
          <w:sz w:val="18"/>
        </w:rPr>
        <w:t xml:space="preserve">• Kubernetes events: </w:t>
      </w:r>
      <w:r>
        <w:rPr>
          <w:rFonts w:ascii="Segoe UI" w:hAnsi="Segoe UI"/>
          <w:color w:val="0F172A"/>
          <w:sz w:val="18"/>
        </w:rPr>
        <w:t>Auditing Warning and Error events, FailedScheduling, Evicted pods, and persistent volume mount failures.</w:t>
      </w:r>
    </w:p>
    <w:p>
      <w:pPr>
        <w:pStyle w:val="ListBullet"/>
        <w:spacing w:before="0" w:after="40" w:line="276" w:lineRule="auto"/>
      </w:pPr>
      <w:r>
        <w:rPr>
          <w:rFonts w:ascii="Segoe UI" w:hAnsi="Segoe UI"/>
          <w:b/>
          <w:color w:val="0F172A"/>
          <w:sz w:val="18"/>
        </w:rPr>
        <w:t xml:space="preserve">• service mesh telemetry: </w:t>
      </w:r>
      <w:r>
        <w:rPr>
          <w:rFonts w:ascii="Segoe UI" w:hAnsi="Segoe UI"/>
          <w:color w:val="0F172A"/>
          <w:sz w:val="18"/>
        </w:rPr>
        <w:t>Istio, Linkerd, or Envoy proxy metrics, mTLS handshake success, east-west traffic latency, and circuit breaking.</w:t>
      </w:r>
    </w:p>
    <w:p>
      <w:pPr>
        <w:pStyle w:val="ListBullet"/>
        <w:spacing w:before="0" w:after="40" w:line="276" w:lineRule="auto"/>
      </w:pPr>
      <w:r>
        <w:rPr>
          <w:rFonts w:ascii="Segoe UI" w:hAnsi="Segoe UI"/>
          <w:b/>
          <w:color w:val="0F172A"/>
          <w:sz w:val="18"/>
        </w:rPr>
        <w:t xml:space="preserve">• namespace/team ownership: </w:t>
      </w:r>
      <w:r>
        <w:rPr>
          <w:rFonts w:ascii="Segoe UI" w:hAnsi="Segoe UI"/>
          <w:color w:val="0F172A"/>
          <w:sz w:val="18"/>
        </w:rPr>
        <w:t>Tagging and labeling taxonomy attributing pod resource utilization to business squads and cost centers.</w:t>
      </w:r>
    </w:p>
    <w:p>
      <w:pPr>
        <w:pStyle w:val="ListBullet"/>
        <w:spacing w:before="0" w:after="40" w:line="276" w:lineRule="auto"/>
      </w:pPr>
      <w:r>
        <w:rPr>
          <w:rFonts w:ascii="Segoe UI" w:hAnsi="Segoe UI"/>
          <w:b/>
          <w:color w:val="0F172A"/>
          <w:sz w:val="18"/>
        </w:rPr>
        <w:t xml:space="preserve">• autoscaling signals: </w:t>
      </w:r>
      <w:r>
        <w:rPr>
          <w:rFonts w:ascii="Segoe UI" w:hAnsi="Segoe UI"/>
          <w:color w:val="0F172A"/>
          <w:sz w:val="18"/>
        </w:rPr>
        <w:t>Horizontal Pod Autoscaler (HPA) saturation, KEDA event metrics, and cluster autoscaler node provisioning latency.</w:t>
      </w:r>
    </w:p>
    <w:p>
      <w:pPr>
        <w:pStyle w:val="ListBullet"/>
        <w:spacing w:before="0" w:after="40" w:line="276" w:lineRule="auto"/>
      </w:pPr>
      <w:r>
        <w:rPr>
          <w:rFonts w:ascii="Segoe UI" w:hAnsi="Segoe UI"/>
          <w:b/>
          <w:color w:val="0F172A"/>
          <w:sz w:val="18"/>
        </w:rPr>
        <w:t xml:space="preserve">• resource saturation: </w:t>
      </w:r>
      <w:r>
        <w:rPr>
          <w:rFonts w:ascii="Segoe UI" w:hAnsi="Segoe UI"/>
          <w:color w:val="0F172A"/>
          <w:sz w:val="18"/>
        </w:rPr>
        <w:t>Pod resource requests vs limits, node overcommit ratios, and noisy neighbor interference mitigation.</w:t>
      </w:r>
    </w:p>
    <w:p>
      <w:pPr>
        <w:pStyle w:val="ListBullet"/>
        <w:spacing w:before="0" w:after="40" w:line="276" w:lineRule="auto"/>
      </w:pPr>
      <w:r>
        <w:rPr>
          <w:rFonts w:ascii="Segoe UI" w:hAnsi="Segoe UI"/>
          <w:b/>
          <w:color w:val="0F172A"/>
          <w:sz w:val="18"/>
        </w:rPr>
        <w:t xml:space="preserve">• noisy pod logs: </w:t>
      </w:r>
      <w:r>
        <w:rPr>
          <w:rFonts w:ascii="Segoe UI" w:hAnsi="Segoe UI"/>
          <w:color w:val="0F172A"/>
          <w:sz w:val="18"/>
        </w:rPr>
        <w:t>Dynamic rate-limiting, debug-level suppression at collector layer, and unmanaged loop filtering.</w:t>
      </w:r>
    </w:p>
    <w:p>
      <w:pPr>
        <w:pStyle w:val="ListBullet"/>
        <w:spacing w:before="0" w:after="40" w:line="276" w:lineRule="auto"/>
      </w:pPr>
      <w:r>
        <w:rPr>
          <w:rFonts w:ascii="Segoe UI" w:hAnsi="Segoe UI"/>
          <w:b/>
          <w:color w:val="0F172A"/>
          <w:sz w:val="18"/>
        </w:rPr>
        <w:t xml:space="preserve">• trace propagation across services: </w:t>
      </w:r>
      <w:r>
        <w:rPr>
          <w:rFonts w:ascii="Segoe UI" w:hAnsi="Segoe UI"/>
          <w:color w:val="0F172A"/>
          <w:sz w:val="18"/>
        </w:rPr>
        <w:t>W3C and B3 distributed trace context propagation across ingress controllers, mesh sidecars, and apps.</w:t>
      </w:r>
    </w:p>
    <w:p>
      <w:pPr>
        <w:pStyle w:val="ListBullet"/>
        <w:spacing w:before="0" w:after="40" w:line="276" w:lineRule="auto"/>
      </w:pPr>
      <w:r>
        <w:rPr>
          <w:rFonts w:ascii="Segoe UI" w:hAnsi="Segoe UI"/>
          <w:b/>
          <w:color w:val="0F172A"/>
          <w:sz w:val="18"/>
        </w:rPr>
        <w:t xml:space="preserve">• runbook and alert routing: </w:t>
      </w:r>
      <w:r>
        <w:rPr>
          <w:rFonts w:ascii="Segoe UI" w:hAnsi="Segoe UI"/>
          <w:color w:val="0F172A"/>
          <w:sz w:val="18"/>
        </w:rPr>
        <w:t>Integration of Prometheus Alertmanager / APM alerts with automated kubectl diagnostic runbooks and PagerDuty.</w:t>
      </w:r>
    </w:p>
    <w:p>
      <w:pPr>
        <w:keepNext/>
        <w:spacing w:before="200" w:after="60"/>
      </w:pPr>
      <w:r>
        <w:rPr>
          <w:rFonts w:ascii="Segoe UI" w:hAnsi="Segoe UI"/>
          <w:b/>
          <w:color w:val="334155"/>
          <w:sz w:val="21"/>
        </w:rPr>
        <w:t>Evidence Examples &amp; Platform-Neutral Artifacts: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rPr>
          <w:tblHeader/>
          <w:cantSplit/>
        </w:trPr>
        <w:tc>
          <w:tcPr>
            <w:tcW w:type="dxa" w:w="4968"/>
            <w:shd w:fill="334155"/>
            <w:tcMar>
              <w:top w:w="120" w:type="dxa"/>
              <w:bottom w:w="120" w:type="dxa"/>
              <w:left w:w="140" w:type="dxa"/>
              <w:right w:w="140" w:type="dxa"/>
            </w:tcMar>
          </w:tcPr>
          <w:p>
            <w:pPr>
              <w:spacing w:before="0" w:after="0"/>
              <w:jc w:val="left"/>
            </w:pPr>
            <w:r>
              <w:rPr>
                <w:rFonts w:ascii="Segoe UI" w:hAnsi="Segoe UI"/>
                <w:b/>
                <w:color w:val="FFFFFF"/>
                <w:sz w:val="18"/>
              </w:rPr>
              <w:t>Kubernetes Evidence Source</w:t>
            </w:r>
          </w:p>
        </w:tc>
        <w:tc>
          <w:tcPr>
            <w:tcW w:type="dxa" w:w="4968"/>
            <w:shd w:fill="334155"/>
            <w:tcMar>
              <w:top w:w="120" w:type="dxa"/>
              <w:bottom w:w="120" w:type="dxa"/>
              <w:left w:w="140" w:type="dxa"/>
              <w:right w:w="140" w:type="dxa"/>
            </w:tcMar>
          </w:tcPr>
          <w:p>
            <w:pPr>
              <w:spacing w:before="0" w:after="0"/>
              <w:jc w:val="left"/>
            </w:pPr>
            <w:r>
              <w:rPr>
                <w:rFonts w:ascii="Segoe UI" w:hAnsi="Segoe UI"/>
                <w:b/>
                <w:color w:val="FFFFFF"/>
                <w:sz w:val="18"/>
              </w:rPr>
              <w:t>Platform-Neutral Examination &amp; Audit Artifacts</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Prometheus</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Cluster and workload metric scrapers, Alertmanager rules, recording rules, and query performance.</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Grafana</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Kubernetes cluster overview, compute node capacity, pod resource saturation, and squad-level dashboards.</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Loki</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Centralized container log streams, LogQL query latencies, index retention configurations, and label cardinality.</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Jaeger</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Distributed trace waterfalls, service dependency graphs, and span latency breakdowns across microservices.</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OpenTelemetry Collector</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Collector DaemonSet/Sidecar deployment, batching processors, memory limiters, and exporter topologies.</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Kubernetes events</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Historical cluster event logs (kubectl get events), automated warning audits, and eviction records.</w:t>
            </w:r>
          </w:p>
        </w:tc>
      </w:tr>
      <w:tr>
        <w:trPr>
          <w:cantSplit/>
        </w:trPr>
        <w:tc>
          <w:tcPr>
            <w:tcW w:type="dxa" w:w="4968"/>
            <w:shd w:fill="FFFFFF"/>
            <w:tcMar>
              <w:top w:w="60" w:type="dxa"/>
              <w:bottom w:w="60" w:type="dxa"/>
              <w:left w:w="80" w:type="dxa"/>
              <w:right w:w="80" w:type="dxa"/>
            </w:tcMar>
          </w:tcPr>
          <w:p>
            <w:pPr>
              <w:spacing w:before="0" w:after="0"/>
            </w:pPr>
            <w:r>
              <w:rPr>
                <w:rFonts w:ascii="Segoe UI" w:hAnsi="Segoe UI"/>
                <w:b/>
                <w:color w:val="0F172A"/>
                <w:sz w:val="17"/>
              </w:rPr>
              <w:t>Service mesh telemetry</w:t>
            </w:r>
          </w:p>
        </w:tc>
        <w:tc>
          <w:tcPr>
            <w:tcW w:type="dxa" w:w="4968"/>
            <w:shd w:fill="FFFFFF"/>
            <w:tcMar>
              <w:top w:w="60" w:type="dxa"/>
              <w:bottom w:w="60" w:type="dxa"/>
              <w:left w:w="80" w:type="dxa"/>
              <w:right w:w="80" w:type="dxa"/>
            </w:tcMar>
          </w:tcPr>
          <w:p>
            <w:pPr>
              <w:spacing w:before="0" w:after="0"/>
            </w:pPr>
            <w:r>
              <w:rPr>
                <w:rFonts w:ascii="Segoe UI" w:hAnsi="Segoe UI"/>
                <w:color w:val="0F172A"/>
                <w:sz w:val="17"/>
              </w:rPr>
              <w:t>Istio / Linkerd control plane health, Envoy proxy access logs, and mutual TLS encryption telemetry.</w:t>
            </w:r>
          </w:p>
        </w:tc>
      </w:tr>
      <w:tr>
        <w:trPr>
          <w:cantSplit/>
        </w:trPr>
        <w:tc>
          <w:tcPr>
            <w:tcW w:type="dxa" w:w="4968"/>
            <w:shd w:fill="F8FAFC"/>
            <w:tcMar>
              <w:top w:w="60" w:type="dxa"/>
              <w:bottom w:w="60" w:type="dxa"/>
              <w:left w:w="80" w:type="dxa"/>
              <w:right w:w="80" w:type="dxa"/>
            </w:tcMar>
          </w:tcPr>
          <w:p>
            <w:pPr>
              <w:spacing w:before="0" w:after="0"/>
            </w:pPr>
            <w:r>
              <w:rPr>
                <w:rFonts w:ascii="Segoe UI" w:hAnsi="Segoe UI"/>
                <w:b/>
                <w:color w:val="0F172A"/>
                <w:sz w:val="17"/>
              </w:rPr>
              <w:t>CI/CD deployment records</w:t>
            </w:r>
          </w:p>
        </w:tc>
        <w:tc>
          <w:tcPr>
            <w:tcW w:type="dxa" w:w="4968"/>
            <w:shd w:fill="F8FAFC"/>
            <w:tcMar>
              <w:top w:w="60" w:type="dxa"/>
              <w:bottom w:w="60" w:type="dxa"/>
              <w:left w:w="80" w:type="dxa"/>
              <w:right w:w="80" w:type="dxa"/>
            </w:tcMar>
          </w:tcPr>
          <w:p>
            <w:pPr>
              <w:spacing w:before="0" w:after="0"/>
            </w:pPr>
            <w:r>
              <w:rPr>
                <w:rFonts w:ascii="Segoe UI" w:hAnsi="Segoe UI"/>
                <w:color w:val="0F172A"/>
                <w:sz w:val="17"/>
              </w:rPr>
              <w:t>ArgoCD, Flux, GitHub Actions, or GitLab CI deployment manifests, Helm release histories, and rollout logs.</w:t>
            </w:r>
          </w:p>
        </w:tc>
      </w:tr>
    </w:tbl>
    <w:p>
      <w:pPr>
        <w:spacing w:after="60"/>
      </w:pPr>
    </w:p>
    <w:p>
      <w:pPr>
        <w:keepNext/>
        <w:spacing w:before="280" w:after="80"/>
      </w:pPr>
      <w:r>
        <w:rPr>
          <w:rFonts w:ascii="Segoe UI" w:hAnsi="Segoe UI"/>
          <w:b/>
          <w:color w:val="1E3A8A"/>
          <w:sz w:val="25"/>
        </w:rPr>
        <w:t>8. Customer Journey &amp; Synthetic Monitoring</w:t>
      </w:r>
    </w:p>
    <w:p>
      <w:pPr>
        <w:spacing w:before="0" w:after="60" w:line="276" w:lineRule="auto"/>
      </w:pPr>
      <w:r>
        <w:rPr>
          <w:rFonts w:ascii="Segoe UI" w:hAnsi="Segoe UI"/>
          <w:color w:val="0F172A"/>
          <w:sz w:val="19"/>
        </w:rPr>
        <w:t>Current documents mention synthetics, but the broader offering should explicitly cover customer-experience observability. Hence we add Customer Journey &amp; Synthetic Monitoring:</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Segoe UI" w:hAnsi="Segoe UI"/>
                <w:b/>
                <w:color w:val="1E3A8A"/>
                <w:sz w:val="19"/>
              </w:rPr>
              <w:t>CUSTOMER JOURNEY &amp; SYNTHETIC MONITORING MANDATE</w:t>
              <w:br/>
            </w:r>
            <w:r>
              <w:rPr>
                <w:rFonts w:ascii="Segoe UI" w:hAnsi="Segoe UI"/>
                <w:color w:val="0F172A"/>
                <w:sz w:val="18"/>
              </w:rPr>
              <w:t>CUSTOMER-EXPERIENCE OBSERVABILITY MANDATE: Infrastructure and backend application health alone do not guarantee user satisfaction. A service can show green CPU and 0% container restart rates while users experience failing checkout screens or 10-second page load times. The diagnostic explicitly audits front-end user experience, active synthetic transaction monitoring, and customer impact telemetry.</w:t>
            </w:r>
          </w:p>
        </w:tc>
      </w:tr>
    </w:tbl>
    <w:p>
      <w:pPr>
        <w:spacing w:after="60"/>
      </w:pPr>
    </w:p>
    <w:p>
      <w:pPr>
        <w:keepNext/>
        <w:spacing w:before="200" w:after="60"/>
      </w:pPr>
      <w:r>
        <w:rPr>
          <w:rFonts w:ascii="Segoe UI" w:hAnsi="Segoe UI"/>
          <w:b/>
          <w:color w:val="334155"/>
          <w:sz w:val="21"/>
        </w:rPr>
        <w:t>Diagnostic Questions:</w:t>
      </w:r>
    </w:p>
    <w:p>
      <w:pPr>
        <w:pStyle w:val="ListBullet"/>
        <w:spacing w:before="0" w:after="40" w:line="276" w:lineRule="auto"/>
      </w:pPr>
      <w:r>
        <w:rPr>
          <w:rFonts w:ascii="Segoe UI" w:hAnsi="Segoe UI"/>
          <w:color w:val="0F172A"/>
          <w:sz w:val="18"/>
        </w:rPr>
        <w:t>Are critical customer journeys monitored from user perspective?</w:t>
      </w:r>
    </w:p>
    <w:p>
      <w:pPr>
        <w:pStyle w:val="ListBullet"/>
        <w:spacing w:before="0" w:after="40" w:line="276" w:lineRule="auto"/>
      </w:pPr>
      <w:r>
        <w:rPr>
          <w:rFonts w:ascii="Segoe UI" w:hAnsi="Segoe UI"/>
          <w:color w:val="0F172A"/>
          <w:sz w:val="18"/>
        </w:rPr>
        <w:t>Are synthetic checks configured for key APIs, login, payment, reporting, data refresh or business transactions?</w:t>
      </w:r>
    </w:p>
    <w:p>
      <w:pPr>
        <w:pStyle w:val="ListBullet"/>
        <w:spacing w:before="0" w:after="40" w:line="276" w:lineRule="auto"/>
      </w:pPr>
      <w:r>
        <w:rPr>
          <w:rFonts w:ascii="Segoe UI" w:hAnsi="Segoe UI"/>
          <w:color w:val="0F172A"/>
          <w:sz w:val="18"/>
        </w:rPr>
        <w:t>Is RUM used for web/mobile experience?</w:t>
      </w:r>
    </w:p>
    <w:p>
      <w:pPr>
        <w:pStyle w:val="ListBullet"/>
        <w:spacing w:before="0" w:after="40" w:line="276" w:lineRule="auto"/>
      </w:pPr>
      <w:r>
        <w:rPr>
          <w:rFonts w:ascii="Segoe UI" w:hAnsi="Segoe UI"/>
          <w:color w:val="0F172A"/>
          <w:sz w:val="18"/>
        </w:rPr>
        <w:t>Can incidents be linked to customer segment, geography, device, business transaction or revenue impact?</w:t>
      </w:r>
    </w:p>
    <w:p>
      <w:pPr>
        <w:pStyle w:val="ListBullet"/>
        <w:spacing w:before="0" w:after="40" w:line="276" w:lineRule="auto"/>
      </w:pPr>
      <w:r>
        <w:rPr>
          <w:rFonts w:ascii="Segoe UI" w:hAnsi="Segoe UI"/>
          <w:color w:val="0F172A"/>
          <w:sz w:val="18"/>
        </w:rPr>
        <w:t>Are synthetic/RUM signals connected to SLOs?</w:t>
      </w:r>
    </w:p>
    <w:p>
      <w:pPr>
        <w:keepNext/>
        <w:spacing w:before="200" w:after="60"/>
      </w:pPr>
      <w:r>
        <w:rPr>
          <w:rFonts w:ascii="Segoe UI" w:hAnsi="Segoe UI"/>
          <w:b/>
          <w:color w:val="334155"/>
          <w:sz w:val="21"/>
        </w:rPr>
        <w:t>Output — Additional Supporting Assets / Deliverables for this Offering:</w:t>
      </w:r>
    </w:p>
    <w:p>
      <w:pPr>
        <w:pStyle w:val="ListBullet"/>
        <w:spacing w:before="0" w:after="40" w:line="276" w:lineRule="auto"/>
      </w:pPr>
      <w:r>
        <w:rPr>
          <w:rFonts w:ascii="Segoe UI" w:hAnsi="Segoe UI"/>
          <w:b/>
          <w:color w:val="0F172A"/>
          <w:sz w:val="18"/>
        </w:rPr>
        <w:t xml:space="preserve">• Customer Journey Observability Coverage Map: </w:t>
      </w:r>
      <w:r>
        <w:rPr>
          <w:rFonts w:ascii="Segoe UI" w:hAnsi="Segoe UI"/>
          <w:color w:val="0F172A"/>
          <w:sz w:val="18"/>
        </w:rPr>
        <w:t>Multi-tiered architecture map correlating front-end user journeys (login, checkout, account lookup) through API gateways, backend microservices, and background data refresh pipelines—identifying unmonitored blind spots, synthetic probe gaps, and RUM performance thresholds.</w:t>
      </w:r>
    </w:p>
    <w:p>
      <w:pPr>
        <w:spacing w:after="60"/>
      </w:pPr>
    </w:p>
    <w:p>
      <w:pPr>
        <w:keepNext/>
        <w:spacing w:before="280" w:after="80"/>
      </w:pPr>
      <w:r>
        <w:rPr>
          <w:rFonts w:ascii="Segoe UI" w:hAnsi="Segoe UI"/>
          <w:b/>
          <w:color w:val="1E3A8A"/>
          <w:sz w:val="25"/>
        </w:rPr>
        <w:t>9. Enterprise Operating Model &amp; Governance RACI Matrix</w:t>
      </w:r>
    </w:p>
    <w:p>
      <w:pPr>
        <w:spacing w:before="0" w:after="60" w:line="276" w:lineRule="auto"/>
      </w:pPr>
      <w:r>
        <w:rPr>
          <w:rFonts w:ascii="Segoe UI" w:hAnsi="Segoe UI"/>
          <w:color w:val="0F172A"/>
          <w:sz w:val="19"/>
        </w:rPr>
        <w:t>The current documents include ownership, on-call, runbooks, SLOs, incident reviews and audit evidence. But a broader offering must institutionalize governance roles and operational accountability across technical and business stakeholders:</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Segoe UI" w:hAnsi="Segoe UI"/>
                <w:b/>
                <w:color w:val="1E3A8A"/>
                <w:sz w:val="19"/>
              </w:rPr>
              <w:t>OPERATING MODEL &amp; GOVERNANCE MANDATE</w:t>
              <w:br/>
            </w:r>
            <w:r>
              <w:rPr>
                <w:rFonts w:ascii="Segoe UI" w:hAnsi="Segoe UI"/>
                <w:color w:val="0F172A"/>
                <w:sz w:val="18"/>
              </w:rPr>
              <w:t>OPERATIONAL GOVERNANCE MANDATE: Observability tools fail when operational ownership is ambiguous. Establishing explicit accountability between Product, Engineering, SRE, Data, Security, and FinOps transforms observability from an unmanaged telemetry repository into an active reliability operating system.</w:t>
            </w:r>
          </w:p>
        </w:tc>
      </w:tr>
    </w:tbl>
    <w:p>
      <w:pPr>
        <w:spacing w:after="60"/>
      </w:pPr>
    </w:p>
    <w:p>
      <w:pPr>
        <w:keepNext/>
        <w:spacing w:before="200" w:after="60"/>
      </w:pPr>
      <w:r>
        <w:rPr>
          <w:rFonts w:ascii="Segoe UI" w:hAnsi="Segoe UI"/>
          <w:b/>
          <w:color w:val="334155"/>
          <w:sz w:val="21"/>
        </w:rPr>
        <w:t>The 10 Enterprise Governance Roles:</w:t>
      </w:r>
    </w:p>
    <w:p>
      <w:pPr>
        <w:pStyle w:val="ListBullet"/>
        <w:spacing w:before="0" w:after="40" w:line="276" w:lineRule="auto"/>
      </w:pPr>
      <w:r>
        <w:rPr>
          <w:rFonts w:ascii="Segoe UI" w:hAnsi="Segoe UI"/>
          <w:b/>
          <w:color w:val="0F172A"/>
          <w:sz w:val="18"/>
        </w:rPr>
        <w:t xml:space="preserve">• Product Owner: </w:t>
      </w:r>
      <w:r>
        <w:rPr>
          <w:rFonts w:ascii="Segoe UI" w:hAnsi="Segoe UI"/>
          <w:color w:val="0F172A"/>
          <w:sz w:val="18"/>
        </w:rPr>
        <w:t>Defines business customer journeys, user impact thresholds, and co-owns error budget policies determining feature release velocity.</w:t>
      </w:r>
    </w:p>
    <w:p>
      <w:pPr>
        <w:pStyle w:val="ListBullet"/>
        <w:spacing w:before="0" w:after="40" w:line="276" w:lineRule="auto"/>
      </w:pPr>
      <w:r>
        <w:rPr>
          <w:rFonts w:ascii="Segoe UI" w:hAnsi="Segoe UI"/>
          <w:b/>
          <w:color w:val="0F172A"/>
          <w:sz w:val="18"/>
        </w:rPr>
        <w:t xml:space="preserve">• Service Owner: </w:t>
      </w:r>
      <w:r>
        <w:rPr>
          <w:rFonts w:ascii="Segoe UI" w:hAnsi="Segoe UI"/>
          <w:color w:val="0F172A"/>
          <w:sz w:val="18"/>
        </w:rPr>
        <w:t>Accountable for microservice health, API contractual reliability, dependency mappings, and operational runbook freshness.</w:t>
      </w:r>
    </w:p>
    <w:p>
      <w:pPr>
        <w:pStyle w:val="ListBullet"/>
        <w:spacing w:before="0" w:after="40" w:line="276" w:lineRule="auto"/>
      </w:pPr>
      <w:r>
        <w:rPr>
          <w:rFonts w:ascii="Segoe UI" w:hAnsi="Segoe UI"/>
          <w:b/>
          <w:color w:val="0F172A"/>
          <w:sz w:val="18"/>
        </w:rPr>
        <w:t xml:space="preserve">• Platform Owner: </w:t>
      </w:r>
      <w:r>
        <w:rPr>
          <w:rFonts w:ascii="Segoe UI" w:hAnsi="Segoe UI"/>
          <w:color w:val="0F172A"/>
          <w:sz w:val="18"/>
        </w:rPr>
        <w:t>Governs core compute infrastructure, standardized OpenTelemetry collector pipelines, agent deployment, and cluster logging.</w:t>
      </w:r>
    </w:p>
    <w:p>
      <w:pPr>
        <w:pStyle w:val="ListBullet"/>
        <w:spacing w:before="0" w:after="40" w:line="276" w:lineRule="auto"/>
      </w:pPr>
      <w:r>
        <w:rPr>
          <w:rFonts w:ascii="Segoe UI" w:hAnsi="Segoe UI"/>
          <w:b/>
          <w:color w:val="0F172A"/>
          <w:sz w:val="18"/>
        </w:rPr>
        <w:t xml:space="preserve">• SRE (Site Reliability Engineering): </w:t>
      </w:r>
      <w:r>
        <w:rPr>
          <w:rFonts w:ascii="Segoe UI" w:hAnsi="Segoe UI"/>
          <w:color w:val="0F172A"/>
          <w:sz w:val="18"/>
        </w:rPr>
        <w:t>Leads alert tuning, on-call paging rotation health, automated incident orchestration, blameless PIRs, and multi-window burn rate alarms.</w:t>
      </w:r>
    </w:p>
    <w:p>
      <w:pPr>
        <w:pStyle w:val="ListBullet"/>
        <w:spacing w:before="0" w:after="40" w:line="276" w:lineRule="auto"/>
      </w:pPr>
      <w:r>
        <w:rPr>
          <w:rFonts w:ascii="Segoe UI" w:hAnsi="Segoe UI"/>
          <w:b/>
          <w:color w:val="0F172A"/>
          <w:sz w:val="18"/>
        </w:rPr>
        <w:t xml:space="preserve">• Application Team: </w:t>
      </w:r>
      <w:r>
        <w:rPr>
          <w:rFonts w:ascii="Segoe UI" w:hAnsi="Segoe UI"/>
          <w:color w:val="0F172A"/>
          <w:sz w:val="18"/>
        </w:rPr>
        <w:t>Instruments codebase with trace context, emits Golden Signals, maintains runbook repositories, and resolves reliability technical debt.</w:t>
      </w:r>
    </w:p>
    <w:p>
      <w:pPr>
        <w:pStyle w:val="ListBullet"/>
        <w:spacing w:before="0" w:after="40" w:line="276" w:lineRule="auto"/>
      </w:pPr>
      <w:r>
        <w:rPr>
          <w:rFonts w:ascii="Segoe UI" w:hAnsi="Segoe UI"/>
          <w:b/>
          <w:color w:val="0F172A"/>
          <w:sz w:val="18"/>
        </w:rPr>
        <w:t xml:space="preserve">• Data Engineering: </w:t>
      </w:r>
      <w:r>
        <w:rPr>
          <w:rFonts w:ascii="Segoe UI" w:hAnsi="Segoe UI"/>
          <w:color w:val="0F172A"/>
          <w:sz w:val="18"/>
        </w:rPr>
        <w:t>Manages batch and streaming pipelines (Airflow, dbt, Spark, Kafka, Snowflake), monitors freshness, and resolves data quality incidents.</w:t>
      </w:r>
    </w:p>
    <w:p>
      <w:pPr>
        <w:pStyle w:val="ListBullet"/>
        <w:spacing w:before="0" w:after="40" w:line="276" w:lineRule="auto"/>
      </w:pPr>
      <w:r>
        <w:rPr>
          <w:rFonts w:ascii="Segoe UI" w:hAnsi="Segoe UI"/>
          <w:b/>
          <w:color w:val="0F172A"/>
          <w:sz w:val="18"/>
        </w:rPr>
        <w:t xml:space="preserve">• Security: </w:t>
      </w:r>
      <w:r>
        <w:rPr>
          <w:rFonts w:ascii="Segoe UI" w:hAnsi="Segoe UI"/>
          <w:color w:val="0F172A"/>
          <w:sz w:val="18"/>
        </w:rPr>
        <w:t>Audits telemetry streams to ensure zero-PII/secret leakage, verifies log immutability, and reviews compliance access controls.</w:t>
      </w:r>
    </w:p>
    <w:p>
      <w:pPr>
        <w:pStyle w:val="ListBullet"/>
        <w:spacing w:before="0" w:after="40" w:line="276" w:lineRule="auto"/>
      </w:pPr>
      <w:r>
        <w:rPr>
          <w:rFonts w:ascii="Segoe UI" w:hAnsi="Segoe UI"/>
          <w:b/>
          <w:color w:val="0F172A"/>
          <w:sz w:val="18"/>
        </w:rPr>
        <w:t xml:space="preserve">• Compliance: </w:t>
      </w:r>
      <w:r>
        <w:rPr>
          <w:rFonts w:ascii="Segoe UI" w:hAnsi="Segoe UI"/>
          <w:color w:val="0F172A"/>
          <w:sz w:val="18"/>
        </w:rPr>
        <w:t>Validates immutable 90-day incident records, verifies audit trails for automated actions, and ensures regulatory compliance (SOC2/SOX/HIPAA).</w:t>
      </w:r>
    </w:p>
    <w:p>
      <w:pPr>
        <w:pStyle w:val="ListBullet"/>
        <w:spacing w:before="0" w:after="40" w:line="276" w:lineRule="auto"/>
      </w:pPr>
      <w:r>
        <w:rPr>
          <w:rFonts w:ascii="Segoe UI" w:hAnsi="Segoe UI"/>
          <w:b/>
          <w:color w:val="0F172A"/>
          <w:sz w:val="18"/>
        </w:rPr>
        <w:t xml:space="preserve">• FinOps: </w:t>
      </w:r>
      <w:r>
        <w:rPr>
          <w:rFonts w:ascii="Segoe UI" w:hAnsi="Segoe UI"/>
          <w:color w:val="0F172A"/>
          <w:sz w:val="18"/>
        </w:rPr>
        <w:t>Governs telemetry ingestion spend across SaaS tools and cloud providers, enforces tiered retention lifecycles, and manages showback reports.</w:t>
      </w:r>
    </w:p>
    <w:p>
      <w:pPr>
        <w:pStyle w:val="ListBullet"/>
        <w:spacing w:before="0" w:after="40" w:line="276" w:lineRule="auto"/>
      </w:pPr>
      <w:r>
        <w:rPr>
          <w:rFonts w:ascii="Segoe UI" w:hAnsi="Segoe UI"/>
          <w:b/>
          <w:color w:val="0F172A"/>
          <w:sz w:val="18"/>
        </w:rPr>
        <w:t xml:space="preserve">• Business Operations: </w:t>
      </w:r>
      <w:r>
        <w:rPr>
          <w:rFonts w:ascii="Segoe UI" w:hAnsi="Segoe UI"/>
          <w:color w:val="0F172A"/>
          <w:sz w:val="18"/>
        </w:rPr>
        <w:t>Validates end-to-end business transactions, order reconciliation, customer conversion drop-offs, and payment gateway health.</w:t>
      </w:r>
    </w:p>
    <w:p>
      <w:pPr>
        <w:keepNext/>
        <w:spacing w:before="200" w:after="60"/>
      </w:pPr>
      <w:r>
        <w:rPr>
          <w:rFonts w:ascii="Segoe UI" w:hAnsi="Segoe UI"/>
          <w:b/>
          <w:color w:val="334155"/>
          <w:sz w:val="21"/>
        </w:rPr>
        <w:t>Master Observability RACI Matrix:</w:t>
      </w:r>
    </w:p>
    <w:p>
      <w:pPr>
        <w:spacing w:before="0" w:after="60" w:line="276" w:lineRule="auto"/>
      </w:pPr>
      <w:r>
        <w:rPr>
          <w:rFonts w:ascii="Segoe UI" w:hAnsi="Segoe UI"/>
          <w:color w:val="0F172A"/>
          <w:sz w:val="19"/>
        </w:rPr>
        <w:t>Defines governance accountability across core reliability activities (A = Accountable, R = Responsible, C = Consulted):</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242"/>
        <w:gridCol w:w="1242"/>
        <w:gridCol w:w="1242"/>
        <w:gridCol w:w="1242"/>
        <w:gridCol w:w="1242"/>
        <w:gridCol w:w="1242"/>
        <w:gridCol w:w="1242"/>
        <w:gridCol w:w="1242"/>
      </w:tblGrid>
      <w:tr>
        <w:trPr>
          <w:tblHeader/>
          <w:cantSplit/>
        </w:trPr>
        <w:tc>
          <w:tcPr>
            <w:tcW w:type="dxa" w:w="1242"/>
            <w:shd w:fill="334155"/>
            <w:tcMar>
              <w:top w:w="120" w:type="dxa"/>
              <w:bottom w:w="120" w:type="dxa"/>
              <w:left w:w="140" w:type="dxa"/>
              <w:right w:w="140" w:type="dxa"/>
            </w:tcMar>
          </w:tcPr>
          <w:p>
            <w:pPr>
              <w:spacing w:before="0" w:after="0"/>
              <w:jc w:val="left"/>
            </w:pPr>
            <w:r>
              <w:rPr>
                <w:rFonts w:ascii="Segoe UI" w:hAnsi="Segoe UI"/>
                <w:b/>
                <w:color w:val="FFFFFF"/>
                <w:sz w:val="18"/>
              </w:rPr>
              <w:t>Activity</w:t>
            </w:r>
          </w:p>
        </w:tc>
        <w:tc>
          <w:tcPr>
            <w:tcW w:type="dxa" w:w="1242"/>
            <w:shd w:fill="334155"/>
            <w:tcMar>
              <w:top w:w="120" w:type="dxa"/>
              <w:bottom w:w="120" w:type="dxa"/>
              <w:left w:w="140" w:type="dxa"/>
              <w:right w:w="140" w:type="dxa"/>
            </w:tcMar>
          </w:tcPr>
          <w:p>
            <w:pPr>
              <w:spacing w:before="0" w:after="0"/>
              <w:jc w:val="left"/>
            </w:pPr>
            <w:r>
              <w:rPr>
                <w:rFonts w:ascii="Segoe UI" w:hAnsi="Segoe UI"/>
                <w:b/>
                <w:color w:val="FFFFFF"/>
                <w:sz w:val="18"/>
              </w:rPr>
              <w:t>Business</w:t>
            </w:r>
          </w:p>
        </w:tc>
        <w:tc>
          <w:tcPr>
            <w:tcW w:type="dxa" w:w="1242"/>
            <w:shd w:fill="334155"/>
            <w:tcMar>
              <w:top w:w="120" w:type="dxa"/>
              <w:bottom w:w="120" w:type="dxa"/>
              <w:left w:w="140" w:type="dxa"/>
              <w:right w:w="140" w:type="dxa"/>
            </w:tcMar>
          </w:tcPr>
          <w:p>
            <w:pPr>
              <w:spacing w:before="0" w:after="0"/>
              <w:jc w:val="left"/>
            </w:pPr>
            <w:r>
              <w:rPr>
                <w:rFonts w:ascii="Segoe UI" w:hAnsi="Segoe UI"/>
                <w:b/>
                <w:color w:val="FFFFFF"/>
                <w:sz w:val="18"/>
              </w:rPr>
              <w:t>Product</w:t>
            </w:r>
          </w:p>
        </w:tc>
        <w:tc>
          <w:tcPr>
            <w:tcW w:type="dxa" w:w="1242"/>
            <w:shd w:fill="334155"/>
            <w:tcMar>
              <w:top w:w="120" w:type="dxa"/>
              <w:bottom w:w="120" w:type="dxa"/>
              <w:left w:w="140" w:type="dxa"/>
              <w:right w:w="140" w:type="dxa"/>
            </w:tcMar>
          </w:tcPr>
          <w:p>
            <w:pPr>
              <w:spacing w:before="0" w:after="0"/>
              <w:jc w:val="left"/>
            </w:pPr>
            <w:r>
              <w:rPr>
                <w:rFonts w:ascii="Segoe UI" w:hAnsi="Segoe UI"/>
                <w:b/>
                <w:color w:val="FFFFFF"/>
                <w:sz w:val="18"/>
              </w:rPr>
              <w:t>Engineering</w:t>
            </w:r>
          </w:p>
        </w:tc>
        <w:tc>
          <w:tcPr>
            <w:tcW w:type="dxa" w:w="1242"/>
            <w:shd w:fill="334155"/>
            <w:tcMar>
              <w:top w:w="120" w:type="dxa"/>
              <w:bottom w:w="120" w:type="dxa"/>
              <w:left w:w="140" w:type="dxa"/>
              <w:right w:w="140" w:type="dxa"/>
            </w:tcMar>
          </w:tcPr>
          <w:p>
            <w:pPr>
              <w:spacing w:before="0" w:after="0"/>
              <w:jc w:val="left"/>
            </w:pPr>
            <w:r>
              <w:rPr>
                <w:rFonts w:ascii="Segoe UI" w:hAnsi="Segoe UI"/>
                <w:b/>
                <w:color w:val="FFFFFF"/>
                <w:sz w:val="18"/>
              </w:rPr>
              <w:t>SRE/Ops</w:t>
            </w:r>
          </w:p>
        </w:tc>
        <w:tc>
          <w:tcPr>
            <w:tcW w:type="dxa" w:w="1242"/>
            <w:shd w:fill="334155"/>
            <w:tcMar>
              <w:top w:w="120" w:type="dxa"/>
              <w:bottom w:w="120" w:type="dxa"/>
              <w:left w:w="140" w:type="dxa"/>
              <w:right w:w="140" w:type="dxa"/>
            </w:tcMar>
          </w:tcPr>
          <w:p>
            <w:pPr>
              <w:spacing w:before="0" w:after="0"/>
              <w:jc w:val="left"/>
            </w:pPr>
            <w:r>
              <w:rPr>
                <w:rFonts w:ascii="Segoe UI" w:hAnsi="Segoe UI"/>
                <w:b/>
                <w:color w:val="FFFFFF"/>
                <w:sz w:val="18"/>
              </w:rPr>
              <w:t>Data</w:t>
            </w:r>
          </w:p>
        </w:tc>
        <w:tc>
          <w:tcPr>
            <w:tcW w:type="dxa" w:w="1242"/>
            <w:shd w:fill="334155"/>
            <w:tcMar>
              <w:top w:w="120" w:type="dxa"/>
              <w:bottom w:w="120" w:type="dxa"/>
              <w:left w:w="140" w:type="dxa"/>
              <w:right w:w="140" w:type="dxa"/>
            </w:tcMar>
          </w:tcPr>
          <w:p>
            <w:pPr>
              <w:spacing w:before="0" w:after="0"/>
              <w:jc w:val="left"/>
            </w:pPr>
            <w:r>
              <w:rPr>
                <w:rFonts w:ascii="Segoe UI" w:hAnsi="Segoe UI"/>
                <w:b/>
                <w:color w:val="FFFFFF"/>
                <w:sz w:val="18"/>
              </w:rPr>
              <w:t>Security</w:t>
            </w:r>
          </w:p>
        </w:tc>
        <w:tc>
          <w:tcPr>
            <w:tcW w:type="dxa" w:w="1242"/>
            <w:shd w:fill="334155"/>
            <w:tcMar>
              <w:top w:w="120" w:type="dxa"/>
              <w:bottom w:w="120" w:type="dxa"/>
              <w:left w:w="140" w:type="dxa"/>
              <w:right w:w="140" w:type="dxa"/>
            </w:tcMar>
          </w:tcPr>
          <w:p>
            <w:pPr>
              <w:spacing w:before="0" w:after="0"/>
              <w:jc w:val="left"/>
            </w:pPr>
            <w:r>
              <w:rPr>
                <w:rFonts w:ascii="Segoe UI" w:hAnsi="Segoe UI"/>
                <w:b/>
                <w:color w:val="FFFFFF"/>
                <w:sz w:val="18"/>
              </w:rPr>
              <w:t>FinOps</w:t>
            </w:r>
          </w:p>
        </w:tc>
      </w:tr>
      <w:tr>
        <w:trPr>
          <w:cantSplit/>
        </w:trPr>
        <w:tc>
          <w:tcPr>
            <w:tcW w:type="dxa" w:w="1242"/>
            <w:shd w:fill="FFFFFF"/>
            <w:tcMar>
              <w:top w:w="60" w:type="dxa"/>
              <w:bottom w:w="60" w:type="dxa"/>
              <w:left w:w="60" w:type="dxa"/>
              <w:right w:w="60" w:type="dxa"/>
            </w:tcMar>
          </w:tcPr>
          <w:p>
            <w:pPr>
              <w:spacing w:before="0" w:after="0"/>
            </w:pPr>
            <w:r>
              <w:rPr>
                <w:rFonts w:ascii="Segoe UI" w:hAnsi="Segoe UI"/>
                <w:b/>
                <w:color w:val="0F172A"/>
                <w:sz w:val="17"/>
              </w:rPr>
              <w:t>SLO definition</w:t>
            </w:r>
          </w:p>
        </w:tc>
        <w:tc>
          <w:tcPr>
            <w:tcW w:type="dxa" w:w="1242"/>
            <w:shd w:fill="FFFFFF"/>
            <w:tcMar>
              <w:top w:w="60" w:type="dxa"/>
              <w:bottom w:w="60" w:type="dxa"/>
              <w:left w:w="60" w:type="dxa"/>
              <w:right w:w="60" w:type="dxa"/>
            </w:tcMar>
          </w:tcPr>
          <w:p>
            <w:pPr>
              <w:spacing w:before="0" w:after="0"/>
              <w:jc w:val="center"/>
            </w:pPr>
            <w:r>
              <w:rPr>
                <w:rFonts w:ascii="Segoe UI" w:hAnsi="Segoe UI"/>
                <w:b/>
                <w:color w:val="991B1B"/>
                <w:sz w:val="17"/>
              </w:rPr>
              <w:t>A</w:t>
            </w:r>
          </w:p>
        </w:tc>
        <w:tc>
          <w:tcPr>
            <w:tcW w:type="dxa" w:w="1242"/>
            <w:shd w:fill="FFFFFF"/>
            <w:tcMar>
              <w:top w:w="60" w:type="dxa"/>
              <w:bottom w:w="60" w:type="dxa"/>
              <w:left w:w="60" w:type="dxa"/>
              <w:right w:w="60" w:type="dxa"/>
            </w:tcMar>
          </w:tcPr>
          <w:p>
            <w:pPr>
              <w:spacing w:before="0" w:after="0"/>
              <w:jc w:val="center"/>
            </w:pPr>
            <w:r>
              <w:rPr>
                <w:rFonts w:ascii="Segoe UI" w:hAnsi="Segoe UI"/>
                <w:b/>
                <w:color w:val="991B1B"/>
                <w:sz w:val="17"/>
              </w:rPr>
              <w:t>A</w:t>
            </w:r>
          </w:p>
        </w:tc>
        <w:tc>
          <w:tcPr>
            <w:tcW w:type="dxa" w:w="1242"/>
            <w:shd w:fill="FFFFFF"/>
            <w:tcMar>
              <w:top w:w="60" w:type="dxa"/>
              <w:bottom w:w="60" w:type="dxa"/>
              <w:left w:w="60" w:type="dxa"/>
              <w:right w:w="60" w:type="dxa"/>
            </w:tcMar>
          </w:tcPr>
          <w:p>
            <w:pPr>
              <w:spacing w:before="0" w:after="0"/>
              <w:jc w:val="center"/>
            </w:pPr>
            <w:r>
              <w:rPr>
                <w:rFonts w:ascii="Segoe UI" w:hAnsi="Segoe UI"/>
                <w:b/>
                <w:color w:val="1E3A8A"/>
                <w:sz w:val="17"/>
              </w:rPr>
              <w:t>R</w:t>
            </w:r>
          </w:p>
        </w:tc>
        <w:tc>
          <w:tcPr>
            <w:tcW w:type="dxa" w:w="1242"/>
            <w:shd w:fill="FFFFFF"/>
            <w:tcMar>
              <w:top w:w="60" w:type="dxa"/>
              <w:bottom w:w="60" w:type="dxa"/>
              <w:left w:w="60" w:type="dxa"/>
              <w:right w:w="60" w:type="dxa"/>
            </w:tcMar>
          </w:tcPr>
          <w:p>
            <w:pPr>
              <w:spacing w:before="0" w:after="0"/>
              <w:jc w:val="center"/>
            </w:pPr>
            <w:r>
              <w:rPr>
                <w:rFonts w:ascii="Segoe UI" w:hAnsi="Segoe UI"/>
                <w:b/>
                <w:color w:val="1E3A8A"/>
                <w:sz w:val="17"/>
              </w:rPr>
              <w:t>R</w:t>
            </w:r>
          </w:p>
        </w:tc>
        <w:tc>
          <w:tcPr>
            <w:tcW w:type="dxa" w:w="1242"/>
            <w:shd w:fill="FFFFFF"/>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FFFFF"/>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FFFFF"/>
            <w:tcMar>
              <w:top w:w="60" w:type="dxa"/>
              <w:bottom w:w="60" w:type="dxa"/>
              <w:left w:w="60" w:type="dxa"/>
              <w:right w:w="60" w:type="dxa"/>
            </w:tcMar>
          </w:tcPr>
          <w:p>
            <w:pPr>
              <w:spacing w:before="0" w:after="0"/>
              <w:jc w:val="center"/>
            </w:pPr>
            <w:r>
              <w:rPr>
                <w:rFonts w:ascii="Segoe UI" w:hAnsi="Segoe UI"/>
                <w:color w:val="0F172A"/>
                <w:sz w:val="17"/>
              </w:rPr>
              <w:t>C</w:t>
            </w:r>
          </w:p>
        </w:tc>
      </w:tr>
      <w:tr>
        <w:trPr>
          <w:cantSplit/>
        </w:trPr>
        <w:tc>
          <w:tcPr>
            <w:tcW w:type="dxa" w:w="1242"/>
            <w:shd w:fill="F8FAFC"/>
            <w:tcMar>
              <w:top w:w="60" w:type="dxa"/>
              <w:bottom w:w="60" w:type="dxa"/>
              <w:left w:w="60" w:type="dxa"/>
              <w:right w:w="60" w:type="dxa"/>
            </w:tcMar>
          </w:tcPr>
          <w:p>
            <w:pPr>
              <w:spacing w:before="0" w:after="0"/>
            </w:pPr>
            <w:r>
              <w:rPr>
                <w:rFonts w:ascii="Segoe UI" w:hAnsi="Segoe UI"/>
                <w:b/>
                <w:color w:val="0F172A"/>
                <w:sz w:val="17"/>
              </w:rPr>
              <w:t>Alert tuning</w:t>
            </w:r>
          </w:p>
        </w:tc>
        <w:tc>
          <w:tcPr>
            <w:tcW w:type="dxa" w:w="1242"/>
            <w:shd w:fill="F8FAFC"/>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8FAFC"/>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8FAFC"/>
            <w:tcMar>
              <w:top w:w="60" w:type="dxa"/>
              <w:bottom w:w="60" w:type="dxa"/>
              <w:left w:w="60" w:type="dxa"/>
              <w:right w:w="60" w:type="dxa"/>
            </w:tcMar>
          </w:tcPr>
          <w:p>
            <w:pPr>
              <w:spacing w:before="0" w:after="0"/>
              <w:jc w:val="center"/>
            </w:pPr>
            <w:r>
              <w:rPr>
                <w:rFonts w:ascii="Segoe UI" w:hAnsi="Segoe UI"/>
                <w:b/>
                <w:color w:val="1E3A8A"/>
                <w:sz w:val="17"/>
              </w:rPr>
              <w:t>R</w:t>
            </w:r>
          </w:p>
        </w:tc>
        <w:tc>
          <w:tcPr>
            <w:tcW w:type="dxa" w:w="1242"/>
            <w:shd w:fill="F8FAFC"/>
            <w:tcMar>
              <w:top w:w="60" w:type="dxa"/>
              <w:bottom w:w="60" w:type="dxa"/>
              <w:left w:w="60" w:type="dxa"/>
              <w:right w:w="60" w:type="dxa"/>
            </w:tcMar>
          </w:tcPr>
          <w:p>
            <w:pPr>
              <w:spacing w:before="0" w:after="0"/>
              <w:jc w:val="center"/>
            </w:pPr>
            <w:r>
              <w:rPr>
                <w:rFonts w:ascii="Segoe UI" w:hAnsi="Segoe UI"/>
                <w:b/>
                <w:color w:val="991B1B"/>
                <w:sz w:val="17"/>
              </w:rPr>
              <w:t>A</w:t>
            </w:r>
          </w:p>
        </w:tc>
        <w:tc>
          <w:tcPr>
            <w:tcW w:type="dxa" w:w="1242"/>
            <w:shd w:fill="F8FAFC"/>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8FAFC"/>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8FAFC"/>
            <w:tcMar>
              <w:top w:w="60" w:type="dxa"/>
              <w:bottom w:w="60" w:type="dxa"/>
              <w:left w:w="60" w:type="dxa"/>
              <w:right w:w="60" w:type="dxa"/>
            </w:tcMar>
          </w:tcPr>
          <w:p>
            <w:pPr>
              <w:spacing w:before="0" w:after="0"/>
              <w:jc w:val="center"/>
            </w:pPr>
            <w:r>
              <w:rPr>
                <w:rFonts w:ascii="Segoe UI" w:hAnsi="Segoe UI"/>
                <w:color w:val="0F172A"/>
                <w:sz w:val="17"/>
              </w:rPr>
              <w:t>C</w:t>
            </w:r>
          </w:p>
        </w:tc>
      </w:tr>
      <w:tr>
        <w:trPr>
          <w:cantSplit/>
        </w:trPr>
        <w:tc>
          <w:tcPr>
            <w:tcW w:type="dxa" w:w="1242"/>
            <w:shd w:fill="FFFFFF"/>
            <w:tcMar>
              <w:top w:w="60" w:type="dxa"/>
              <w:bottom w:w="60" w:type="dxa"/>
              <w:left w:w="60" w:type="dxa"/>
              <w:right w:w="60" w:type="dxa"/>
            </w:tcMar>
          </w:tcPr>
          <w:p>
            <w:pPr>
              <w:spacing w:before="0" w:after="0"/>
            </w:pPr>
            <w:r>
              <w:rPr>
                <w:rFonts w:ascii="Segoe UI" w:hAnsi="Segoe UI"/>
                <w:b/>
                <w:color w:val="0F172A"/>
                <w:sz w:val="17"/>
              </w:rPr>
              <w:t>Incident response</w:t>
            </w:r>
          </w:p>
        </w:tc>
        <w:tc>
          <w:tcPr>
            <w:tcW w:type="dxa" w:w="1242"/>
            <w:shd w:fill="FFFFFF"/>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FFFFF"/>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FFFFF"/>
            <w:tcMar>
              <w:top w:w="60" w:type="dxa"/>
              <w:bottom w:w="60" w:type="dxa"/>
              <w:left w:w="60" w:type="dxa"/>
              <w:right w:w="60" w:type="dxa"/>
            </w:tcMar>
          </w:tcPr>
          <w:p>
            <w:pPr>
              <w:spacing w:before="0" w:after="0"/>
              <w:jc w:val="center"/>
            </w:pPr>
            <w:r>
              <w:rPr>
                <w:rFonts w:ascii="Segoe UI" w:hAnsi="Segoe UI"/>
                <w:b/>
                <w:color w:val="1E3A8A"/>
                <w:sz w:val="17"/>
              </w:rPr>
              <w:t>R</w:t>
            </w:r>
          </w:p>
        </w:tc>
        <w:tc>
          <w:tcPr>
            <w:tcW w:type="dxa" w:w="1242"/>
            <w:shd w:fill="FFFFFF"/>
            <w:tcMar>
              <w:top w:w="60" w:type="dxa"/>
              <w:bottom w:w="60" w:type="dxa"/>
              <w:left w:w="60" w:type="dxa"/>
              <w:right w:w="60" w:type="dxa"/>
            </w:tcMar>
          </w:tcPr>
          <w:p>
            <w:pPr>
              <w:spacing w:before="0" w:after="0"/>
              <w:jc w:val="center"/>
            </w:pPr>
            <w:r>
              <w:rPr>
                <w:rFonts w:ascii="Segoe UI" w:hAnsi="Segoe UI"/>
                <w:b/>
                <w:color w:val="991B1B"/>
                <w:sz w:val="17"/>
              </w:rPr>
              <w:t>A</w:t>
            </w:r>
          </w:p>
        </w:tc>
        <w:tc>
          <w:tcPr>
            <w:tcW w:type="dxa" w:w="1242"/>
            <w:shd w:fill="FFFFFF"/>
            <w:tcMar>
              <w:top w:w="60" w:type="dxa"/>
              <w:bottom w:w="60" w:type="dxa"/>
              <w:left w:w="60" w:type="dxa"/>
              <w:right w:w="60" w:type="dxa"/>
            </w:tcMar>
          </w:tcPr>
          <w:p>
            <w:pPr>
              <w:spacing w:before="0" w:after="0"/>
              <w:jc w:val="center"/>
            </w:pPr>
            <w:r>
              <w:rPr>
                <w:rFonts w:ascii="Segoe UI" w:hAnsi="Segoe UI"/>
                <w:b/>
                <w:color w:val="1E3A8A"/>
                <w:sz w:val="17"/>
              </w:rPr>
              <w:t>R</w:t>
            </w:r>
          </w:p>
        </w:tc>
        <w:tc>
          <w:tcPr>
            <w:tcW w:type="dxa" w:w="1242"/>
            <w:shd w:fill="FFFFFF"/>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FFFFF"/>
            <w:tcMar>
              <w:top w:w="60" w:type="dxa"/>
              <w:bottom w:w="60" w:type="dxa"/>
              <w:left w:w="60" w:type="dxa"/>
              <w:right w:w="60" w:type="dxa"/>
            </w:tcMar>
          </w:tcPr>
          <w:p>
            <w:pPr>
              <w:spacing w:before="0" w:after="0"/>
              <w:jc w:val="center"/>
            </w:pPr>
            <w:r>
              <w:rPr>
                <w:rFonts w:ascii="Segoe UI" w:hAnsi="Segoe UI"/>
                <w:color w:val="0F172A"/>
                <w:sz w:val="17"/>
              </w:rPr>
              <w:t>C</w:t>
            </w:r>
          </w:p>
        </w:tc>
      </w:tr>
      <w:tr>
        <w:trPr>
          <w:cantSplit/>
        </w:trPr>
        <w:tc>
          <w:tcPr>
            <w:tcW w:type="dxa" w:w="1242"/>
            <w:shd w:fill="F8FAFC"/>
            <w:tcMar>
              <w:top w:w="60" w:type="dxa"/>
              <w:bottom w:w="60" w:type="dxa"/>
              <w:left w:w="60" w:type="dxa"/>
              <w:right w:w="60" w:type="dxa"/>
            </w:tcMar>
          </w:tcPr>
          <w:p>
            <w:pPr>
              <w:spacing w:before="0" w:after="0"/>
            </w:pPr>
            <w:r>
              <w:rPr>
                <w:rFonts w:ascii="Segoe UI" w:hAnsi="Segoe UI"/>
                <w:b/>
                <w:color w:val="0F172A"/>
                <w:sz w:val="17"/>
              </w:rPr>
              <w:t>Dashboard ownership</w:t>
            </w:r>
          </w:p>
        </w:tc>
        <w:tc>
          <w:tcPr>
            <w:tcW w:type="dxa" w:w="1242"/>
            <w:shd w:fill="F8FAFC"/>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8FAFC"/>
            <w:tcMar>
              <w:top w:w="60" w:type="dxa"/>
              <w:bottom w:w="60" w:type="dxa"/>
              <w:left w:w="60" w:type="dxa"/>
              <w:right w:w="60" w:type="dxa"/>
            </w:tcMar>
          </w:tcPr>
          <w:p>
            <w:pPr>
              <w:spacing w:before="0" w:after="0"/>
              <w:jc w:val="center"/>
            </w:pPr>
            <w:r>
              <w:rPr>
                <w:rFonts w:ascii="Segoe UI" w:hAnsi="Segoe UI"/>
                <w:b/>
                <w:color w:val="991B1B"/>
                <w:sz w:val="17"/>
              </w:rPr>
              <w:t>A</w:t>
            </w:r>
          </w:p>
        </w:tc>
        <w:tc>
          <w:tcPr>
            <w:tcW w:type="dxa" w:w="1242"/>
            <w:shd w:fill="F8FAFC"/>
            <w:tcMar>
              <w:top w:w="60" w:type="dxa"/>
              <w:bottom w:w="60" w:type="dxa"/>
              <w:left w:w="60" w:type="dxa"/>
              <w:right w:w="60" w:type="dxa"/>
            </w:tcMar>
          </w:tcPr>
          <w:p>
            <w:pPr>
              <w:spacing w:before="0" w:after="0"/>
              <w:jc w:val="center"/>
            </w:pPr>
            <w:r>
              <w:rPr>
                <w:rFonts w:ascii="Segoe UI" w:hAnsi="Segoe UI"/>
                <w:b/>
                <w:color w:val="1E3A8A"/>
                <w:sz w:val="17"/>
              </w:rPr>
              <w:t>R</w:t>
            </w:r>
          </w:p>
        </w:tc>
        <w:tc>
          <w:tcPr>
            <w:tcW w:type="dxa" w:w="1242"/>
            <w:shd w:fill="F8FAFC"/>
            <w:tcMar>
              <w:top w:w="60" w:type="dxa"/>
              <w:bottom w:w="60" w:type="dxa"/>
              <w:left w:w="60" w:type="dxa"/>
              <w:right w:w="60" w:type="dxa"/>
            </w:tcMar>
          </w:tcPr>
          <w:p>
            <w:pPr>
              <w:spacing w:before="0" w:after="0"/>
              <w:jc w:val="center"/>
            </w:pPr>
            <w:r>
              <w:rPr>
                <w:rFonts w:ascii="Segoe UI" w:hAnsi="Segoe UI"/>
                <w:b/>
                <w:color w:val="1E3A8A"/>
                <w:sz w:val="17"/>
              </w:rPr>
              <w:t>R</w:t>
            </w:r>
          </w:p>
        </w:tc>
        <w:tc>
          <w:tcPr>
            <w:tcW w:type="dxa" w:w="1242"/>
            <w:shd w:fill="F8FAFC"/>
            <w:tcMar>
              <w:top w:w="60" w:type="dxa"/>
              <w:bottom w:w="60" w:type="dxa"/>
              <w:left w:w="60" w:type="dxa"/>
              <w:right w:w="60" w:type="dxa"/>
            </w:tcMar>
          </w:tcPr>
          <w:p>
            <w:pPr>
              <w:spacing w:before="0" w:after="0"/>
              <w:jc w:val="center"/>
            </w:pPr>
            <w:r>
              <w:rPr>
                <w:rFonts w:ascii="Segoe UI" w:hAnsi="Segoe UI"/>
                <w:b/>
                <w:color w:val="1E3A8A"/>
                <w:sz w:val="17"/>
              </w:rPr>
              <w:t>R</w:t>
            </w:r>
          </w:p>
        </w:tc>
        <w:tc>
          <w:tcPr>
            <w:tcW w:type="dxa" w:w="1242"/>
            <w:shd w:fill="F8FAFC"/>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8FAFC"/>
            <w:tcMar>
              <w:top w:w="60" w:type="dxa"/>
              <w:bottom w:w="60" w:type="dxa"/>
              <w:left w:w="60" w:type="dxa"/>
              <w:right w:w="60" w:type="dxa"/>
            </w:tcMar>
          </w:tcPr>
          <w:p>
            <w:pPr>
              <w:spacing w:before="0" w:after="0"/>
              <w:jc w:val="center"/>
            </w:pPr>
            <w:r>
              <w:rPr>
                <w:rFonts w:ascii="Segoe UI" w:hAnsi="Segoe UI"/>
                <w:color w:val="0F172A"/>
                <w:sz w:val="17"/>
              </w:rPr>
              <w:t>C</w:t>
            </w:r>
          </w:p>
        </w:tc>
      </w:tr>
      <w:tr>
        <w:trPr>
          <w:cantSplit/>
        </w:trPr>
        <w:tc>
          <w:tcPr>
            <w:tcW w:type="dxa" w:w="1242"/>
            <w:shd w:fill="FFFFFF"/>
            <w:tcMar>
              <w:top w:w="60" w:type="dxa"/>
              <w:bottom w:w="60" w:type="dxa"/>
              <w:left w:w="60" w:type="dxa"/>
              <w:right w:w="60" w:type="dxa"/>
            </w:tcMar>
          </w:tcPr>
          <w:p>
            <w:pPr>
              <w:spacing w:before="0" w:after="0"/>
            </w:pPr>
            <w:r>
              <w:rPr>
                <w:rFonts w:ascii="Segoe UI" w:hAnsi="Segoe UI"/>
                <w:b/>
                <w:color w:val="0F172A"/>
                <w:sz w:val="17"/>
              </w:rPr>
              <w:t>Telemetry cost review</w:t>
            </w:r>
          </w:p>
        </w:tc>
        <w:tc>
          <w:tcPr>
            <w:tcW w:type="dxa" w:w="1242"/>
            <w:shd w:fill="FFFFFF"/>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FFFFF"/>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FFFFF"/>
            <w:tcMar>
              <w:top w:w="60" w:type="dxa"/>
              <w:bottom w:w="60" w:type="dxa"/>
              <w:left w:w="60" w:type="dxa"/>
              <w:right w:w="60" w:type="dxa"/>
            </w:tcMar>
          </w:tcPr>
          <w:p>
            <w:pPr>
              <w:spacing w:before="0" w:after="0"/>
              <w:jc w:val="center"/>
            </w:pPr>
            <w:r>
              <w:rPr>
                <w:rFonts w:ascii="Segoe UI" w:hAnsi="Segoe UI"/>
                <w:b/>
                <w:color w:val="1E3A8A"/>
                <w:sz w:val="17"/>
              </w:rPr>
              <w:t>R</w:t>
            </w:r>
          </w:p>
        </w:tc>
        <w:tc>
          <w:tcPr>
            <w:tcW w:type="dxa" w:w="1242"/>
            <w:shd w:fill="FFFFFF"/>
            <w:tcMar>
              <w:top w:w="60" w:type="dxa"/>
              <w:bottom w:w="60" w:type="dxa"/>
              <w:left w:w="60" w:type="dxa"/>
              <w:right w:w="60" w:type="dxa"/>
            </w:tcMar>
          </w:tcPr>
          <w:p>
            <w:pPr>
              <w:spacing w:before="0" w:after="0"/>
              <w:jc w:val="center"/>
            </w:pPr>
            <w:r>
              <w:rPr>
                <w:rFonts w:ascii="Segoe UI" w:hAnsi="Segoe UI"/>
                <w:b/>
                <w:color w:val="1E3A8A"/>
                <w:sz w:val="17"/>
              </w:rPr>
              <w:t>R</w:t>
            </w:r>
          </w:p>
        </w:tc>
        <w:tc>
          <w:tcPr>
            <w:tcW w:type="dxa" w:w="1242"/>
            <w:shd w:fill="FFFFFF"/>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FFFFF"/>
            <w:tcMar>
              <w:top w:w="60" w:type="dxa"/>
              <w:bottom w:w="60" w:type="dxa"/>
              <w:left w:w="60" w:type="dxa"/>
              <w:right w:w="60" w:type="dxa"/>
            </w:tcMar>
          </w:tcPr>
          <w:p>
            <w:pPr>
              <w:spacing w:before="0" w:after="0"/>
              <w:jc w:val="center"/>
            </w:pPr>
            <w:r>
              <w:rPr>
                <w:rFonts w:ascii="Segoe UI" w:hAnsi="Segoe UI"/>
                <w:color w:val="0F172A"/>
                <w:sz w:val="17"/>
              </w:rPr>
              <w:t>C</w:t>
            </w:r>
          </w:p>
        </w:tc>
        <w:tc>
          <w:tcPr>
            <w:tcW w:type="dxa" w:w="1242"/>
            <w:shd w:fill="FFFFFF"/>
            <w:tcMar>
              <w:top w:w="60" w:type="dxa"/>
              <w:bottom w:w="60" w:type="dxa"/>
              <w:left w:w="60" w:type="dxa"/>
              <w:right w:w="60" w:type="dxa"/>
            </w:tcMar>
          </w:tcPr>
          <w:p>
            <w:pPr>
              <w:spacing w:before="0" w:after="0"/>
              <w:jc w:val="center"/>
            </w:pPr>
            <w:r>
              <w:rPr>
                <w:rFonts w:ascii="Segoe UI" w:hAnsi="Segoe UI"/>
                <w:b/>
                <w:color w:val="991B1B"/>
                <w:sz w:val="17"/>
              </w:rPr>
              <w:t>A</w:t>
            </w:r>
          </w:p>
        </w:tc>
      </w:tr>
    </w:tbl>
    <w:p>
      <w:pPr>
        <w:spacing w:after="60"/>
      </w:pPr>
    </w:p>
    <w:p>
      <w:pPr>
        <w:keepNext/>
        <w:spacing w:before="280" w:after="80"/>
      </w:pPr>
      <w:r>
        <w:rPr>
          <w:rFonts w:ascii="Segoe UI" w:hAnsi="Segoe UI"/>
          <w:b/>
          <w:color w:val="1E3A8A"/>
          <w:sz w:val="25"/>
        </w:rPr>
        <w:t>10. The 11 Platform-Neutral Assessment Dimensions (O0–O10)</w:t>
      </w:r>
    </w:p>
    <w:p>
      <w:pPr>
        <w:spacing w:before="0" w:after="60" w:line="276" w:lineRule="auto"/>
      </w:pPr>
      <w:r>
        <w:rPr>
          <w:rFonts w:ascii="Segoe UI" w:hAnsi="Segoe UI"/>
          <w:color w:val="0F172A"/>
          <w:sz w:val="19"/>
        </w:rPr>
        <w:t>The current dimensions O0–O7 are preserved and expanded to O10 for a comprehensive, platform-neutral offering:</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Borders>
              <w:left w:val="single" w:sz="24" w:space="0" w:color="1E3A8A"/>
              <w:top w:val="none"/>
              <w:right w:val="none"/>
              <w:bottom w:val="none"/>
            </w:tcBorders>
          </w:tcPr>
          <w:p>
            <w:pPr>
              <w:spacing w:before="0" w:after="0" w:line="276" w:lineRule="auto"/>
            </w:pPr>
            <w:r>
              <w:rPr>
                <w:rFonts w:ascii="Segoe UI" w:hAnsi="Segoe UI"/>
                <w:b/>
                <w:color w:val="1E3A8A"/>
                <w:sz w:val="19"/>
              </w:rPr>
              <w:t>DIMENSION MANDATE &amp; POSITIONING STRATEGY</w:t>
              <w:br/>
            </w:r>
            <w:r>
              <w:rPr>
                <w:rFonts w:ascii="Segoe UI" w:hAnsi="Segoe UI"/>
                <w:color w:val="0F172A"/>
                <w:sz w:val="18"/>
              </w:rPr>
              <w:t>STRATEGIC POSITIONING PRINCIPLE: Current dimensions are O0–O7 and are mostly useful. Keep them but expand to O10 for a general offering.</w:t>
              <w:br/>
              <w:t>• O8 (Data Product &amp; Pipeline Observability) and O9 (Tool Architecture, Integration &amp; Rationalization) are MANDATORY for Vithi's differentiated positioning.</w:t>
              <w:br/>
              <w:t>• O10 (AI / GenAI / Agent Observability Extension) is OPTIONAL depending on customer workload maturity.</w:t>
            </w:r>
          </w:p>
        </w:tc>
      </w:tr>
    </w:tbl>
    <w:p>
      <w:pPr>
        <w:spacing w:after="6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rPr>
          <w:tblHeader/>
          <w:cantSplit/>
        </w:trPr>
        <w:tc>
          <w:tcPr>
            <w:tcW w:type="dxa" w:w="3312"/>
            <w:shd w:fill="1E3A8A"/>
            <w:tcMar>
              <w:top w:w="120" w:type="dxa"/>
              <w:bottom w:w="120" w:type="dxa"/>
              <w:left w:w="140" w:type="dxa"/>
              <w:right w:w="140" w:type="dxa"/>
            </w:tcMar>
          </w:tcPr>
          <w:p>
            <w:pPr>
              <w:spacing w:before="0" w:after="0"/>
              <w:jc w:val="left"/>
            </w:pPr>
            <w:r>
              <w:rPr>
                <w:rFonts w:ascii="Segoe UI" w:hAnsi="Segoe UI"/>
                <w:b/>
                <w:color w:val="FFFFFF"/>
                <w:sz w:val="18"/>
              </w:rPr>
              <w:t>Dimension ID</w:t>
            </w:r>
          </w:p>
        </w:tc>
        <w:tc>
          <w:tcPr>
            <w:tcW w:type="dxa" w:w="3312"/>
            <w:shd w:fill="1E3A8A"/>
            <w:tcMar>
              <w:top w:w="120" w:type="dxa"/>
              <w:bottom w:w="120" w:type="dxa"/>
              <w:left w:w="140" w:type="dxa"/>
              <w:right w:w="140" w:type="dxa"/>
            </w:tcMar>
          </w:tcPr>
          <w:p>
            <w:pPr>
              <w:spacing w:before="0" w:after="0"/>
              <w:jc w:val="left"/>
            </w:pPr>
            <w:r>
              <w:rPr>
                <w:rFonts w:ascii="Segoe UI" w:hAnsi="Segoe UI"/>
                <w:b/>
                <w:color w:val="FFFFFF"/>
                <w:sz w:val="18"/>
              </w:rPr>
              <w:t>Dimension Name</w:t>
            </w:r>
          </w:p>
        </w:tc>
        <w:tc>
          <w:tcPr>
            <w:tcW w:type="dxa" w:w="3312"/>
            <w:shd w:fill="1E3A8A"/>
            <w:tcMar>
              <w:top w:w="120" w:type="dxa"/>
              <w:bottom w:w="120" w:type="dxa"/>
              <w:left w:w="140" w:type="dxa"/>
              <w:right w:w="140" w:type="dxa"/>
            </w:tcMar>
          </w:tcPr>
          <w:p>
            <w:pPr>
              <w:spacing w:before="0" w:after="0"/>
              <w:jc w:val="left"/>
            </w:pPr>
            <w:r>
              <w:rPr>
                <w:rFonts w:ascii="Segoe UI" w:hAnsi="Segoe UI"/>
                <w:b/>
                <w:color w:val="FFFFFF"/>
                <w:sz w:val="18"/>
              </w:rPr>
              <w:t>Diagnostic Scope &amp; Mandate Status</w:t>
            </w:r>
          </w:p>
        </w:tc>
      </w:tr>
      <w:tr>
        <w:trPr>
          <w:cantSplit/>
        </w:trPr>
        <w:tc>
          <w:tcPr>
            <w:tcW w:type="dxa" w:w="3312"/>
            <w:shd w:fill="FFFFFF"/>
            <w:tcMar>
              <w:top w:w="60" w:type="dxa"/>
              <w:bottom w:w="60" w:type="dxa"/>
              <w:left w:w="80" w:type="dxa"/>
              <w:right w:w="80" w:type="dxa"/>
            </w:tcMar>
          </w:tcPr>
          <w:p>
            <w:pPr>
              <w:spacing w:before="0" w:after="0"/>
              <w:jc w:val="center"/>
            </w:pPr>
            <w:r>
              <w:rPr>
                <w:rFonts w:ascii="Segoe UI" w:hAnsi="Segoe UI"/>
                <w:b/>
                <w:color w:val="2563EB"/>
                <w:sz w:val="17"/>
              </w:rPr>
              <w:t>O0</w:t>
            </w:r>
          </w:p>
        </w:tc>
        <w:tc>
          <w:tcPr>
            <w:tcW w:type="dxa" w:w="3312"/>
            <w:shd w:fill="FFFFFF"/>
            <w:tcMar>
              <w:top w:w="60" w:type="dxa"/>
              <w:bottom w:w="60" w:type="dxa"/>
              <w:left w:w="80" w:type="dxa"/>
              <w:right w:w="80" w:type="dxa"/>
            </w:tcMar>
          </w:tcPr>
          <w:p>
            <w:pPr>
              <w:spacing w:before="0" w:after="0"/>
            </w:pPr>
            <w:r>
              <w:rPr>
                <w:rFonts w:ascii="Segoe UI" w:hAnsi="Segoe UI"/>
                <w:b/>
                <w:color w:val="0F172A"/>
                <w:sz w:val="17"/>
              </w:rPr>
              <w:t>Estate, Service &amp; Business Criticality Profile</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Establishes service tiering (Tier-1/2/3) and maps technical assets to revenue streams.</w:t>
            </w:r>
          </w:p>
        </w:tc>
      </w:tr>
      <w:tr>
        <w:trPr>
          <w:cantSplit/>
        </w:trPr>
        <w:tc>
          <w:tcPr>
            <w:tcW w:type="dxa" w:w="3312"/>
            <w:shd w:fill="F8FAFC"/>
            <w:tcMar>
              <w:top w:w="60" w:type="dxa"/>
              <w:bottom w:w="60" w:type="dxa"/>
              <w:left w:w="80" w:type="dxa"/>
              <w:right w:w="80" w:type="dxa"/>
            </w:tcMar>
          </w:tcPr>
          <w:p>
            <w:pPr>
              <w:spacing w:before="0" w:after="0"/>
              <w:jc w:val="center"/>
            </w:pPr>
            <w:r>
              <w:rPr>
                <w:rFonts w:ascii="Segoe UI" w:hAnsi="Segoe UI"/>
                <w:b/>
                <w:color w:val="2563EB"/>
                <w:sz w:val="17"/>
              </w:rPr>
              <w:t>O1</w:t>
            </w:r>
          </w:p>
        </w:tc>
        <w:tc>
          <w:tcPr>
            <w:tcW w:type="dxa" w:w="3312"/>
            <w:shd w:fill="F8FAFC"/>
            <w:tcMar>
              <w:top w:w="60" w:type="dxa"/>
              <w:bottom w:w="60" w:type="dxa"/>
              <w:left w:w="80" w:type="dxa"/>
              <w:right w:w="80" w:type="dxa"/>
            </w:tcMar>
          </w:tcPr>
          <w:p>
            <w:pPr>
              <w:spacing w:before="0" w:after="0"/>
            </w:pPr>
            <w:r>
              <w:rPr>
                <w:rFonts w:ascii="Segoe UI" w:hAnsi="Segoe UI"/>
                <w:b/>
                <w:color w:val="0F172A"/>
                <w:sz w:val="17"/>
              </w:rPr>
              <w:t>Telemetry Collection &amp; Instrumentation Coverage</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Audits Golden Signals (latency, errors, traffic, saturation) across apps and infrastructure.</w:t>
            </w:r>
          </w:p>
        </w:tc>
      </w:tr>
      <w:tr>
        <w:trPr>
          <w:cantSplit/>
        </w:trPr>
        <w:tc>
          <w:tcPr>
            <w:tcW w:type="dxa" w:w="3312"/>
            <w:shd w:fill="FFFFFF"/>
            <w:tcMar>
              <w:top w:w="60" w:type="dxa"/>
              <w:bottom w:w="60" w:type="dxa"/>
              <w:left w:w="80" w:type="dxa"/>
              <w:right w:w="80" w:type="dxa"/>
            </w:tcMar>
          </w:tcPr>
          <w:p>
            <w:pPr>
              <w:spacing w:before="0" w:after="0"/>
              <w:jc w:val="center"/>
            </w:pPr>
            <w:r>
              <w:rPr>
                <w:rFonts w:ascii="Segoe UI" w:hAnsi="Segoe UI"/>
                <w:b/>
                <w:color w:val="2563EB"/>
                <w:sz w:val="17"/>
              </w:rPr>
              <w:t>O2</w:t>
            </w:r>
          </w:p>
        </w:tc>
        <w:tc>
          <w:tcPr>
            <w:tcW w:type="dxa" w:w="3312"/>
            <w:shd w:fill="FFFFFF"/>
            <w:tcMar>
              <w:top w:w="60" w:type="dxa"/>
              <w:bottom w:w="60" w:type="dxa"/>
              <w:left w:w="80" w:type="dxa"/>
              <w:right w:w="80" w:type="dxa"/>
            </w:tcMar>
          </w:tcPr>
          <w:p>
            <w:pPr>
              <w:spacing w:before="0" w:after="0"/>
            </w:pPr>
            <w:r>
              <w:rPr>
                <w:rFonts w:ascii="Segoe UI" w:hAnsi="Segoe UI"/>
                <w:b/>
                <w:color w:val="0F172A"/>
                <w:sz w:val="17"/>
              </w:rPr>
              <w:t>Correlation, Tracing &amp; Dependency Visibility</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Evaluates end-to-end W3C distributed tracing across synchronous APIs and asynchronous queues.</w:t>
            </w:r>
          </w:p>
        </w:tc>
      </w:tr>
      <w:tr>
        <w:trPr>
          <w:cantSplit/>
        </w:trPr>
        <w:tc>
          <w:tcPr>
            <w:tcW w:type="dxa" w:w="3312"/>
            <w:shd w:fill="F8FAFC"/>
            <w:tcMar>
              <w:top w:w="60" w:type="dxa"/>
              <w:bottom w:w="60" w:type="dxa"/>
              <w:left w:w="80" w:type="dxa"/>
              <w:right w:w="80" w:type="dxa"/>
            </w:tcMar>
          </w:tcPr>
          <w:p>
            <w:pPr>
              <w:spacing w:before="0" w:after="0"/>
              <w:jc w:val="center"/>
            </w:pPr>
            <w:r>
              <w:rPr>
                <w:rFonts w:ascii="Segoe UI" w:hAnsi="Segoe UI"/>
                <w:b/>
                <w:color w:val="2563EB"/>
                <w:sz w:val="17"/>
              </w:rPr>
              <w:t>O3</w:t>
            </w:r>
          </w:p>
        </w:tc>
        <w:tc>
          <w:tcPr>
            <w:tcW w:type="dxa" w:w="3312"/>
            <w:shd w:fill="F8FAFC"/>
            <w:tcMar>
              <w:top w:w="60" w:type="dxa"/>
              <w:bottom w:w="60" w:type="dxa"/>
              <w:left w:w="80" w:type="dxa"/>
              <w:right w:w="80" w:type="dxa"/>
            </w:tcMar>
          </w:tcPr>
          <w:p>
            <w:pPr>
              <w:spacing w:before="0" w:after="0"/>
            </w:pPr>
            <w:r>
              <w:rPr>
                <w:rFonts w:ascii="Segoe UI" w:hAnsi="Segoe UI"/>
                <w:b/>
                <w:color w:val="0F172A"/>
                <w:sz w:val="17"/>
              </w:rPr>
              <w:t>Alert Quality, Routing &amp; Noise Management</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Audits 90-day alert logs to eliminate fatigue, static thresholds, and unrouted notifications.</w:t>
            </w:r>
          </w:p>
        </w:tc>
      </w:tr>
      <w:tr>
        <w:trPr>
          <w:cantSplit/>
        </w:trPr>
        <w:tc>
          <w:tcPr>
            <w:tcW w:type="dxa" w:w="3312"/>
            <w:shd w:fill="FFFFFF"/>
            <w:tcMar>
              <w:top w:w="60" w:type="dxa"/>
              <w:bottom w:w="60" w:type="dxa"/>
              <w:left w:w="80" w:type="dxa"/>
              <w:right w:w="80" w:type="dxa"/>
            </w:tcMar>
          </w:tcPr>
          <w:p>
            <w:pPr>
              <w:spacing w:before="0" w:after="0"/>
              <w:jc w:val="center"/>
            </w:pPr>
            <w:r>
              <w:rPr>
                <w:rFonts w:ascii="Segoe UI" w:hAnsi="Segoe UI"/>
                <w:b/>
                <w:color w:val="2563EB"/>
                <w:sz w:val="17"/>
              </w:rPr>
              <w:t>O4</w:t>
            </w:r>
          </w:p>
        </w:tc>
        <w:tc>
          <w:tcPr>
            <w:tcW w:type="dxa" w:w="3312"/>
            <w:shd w:fill="FFFFFF"/>
            <w:tcMar>
              <w:top w:w="60" w:type="dxa"/>
              <w:bottom w:w="60" w:type="dxa"/>
              <w:left w:w="80" w:type="dxa"/>
              <w:right w:w="80" w:type="dxa"/>
            </w:tcMar>
          </w:tcPr>
          <w:p>
            <w:pPr>
              <w:spacing w:before="0" w:after="0"/>
            </w:pPr>
            <w:r>
              <w:rPr>
                <w:rFonts w:ascii="Segoe UI" w:hAnsi="Segoe UI"/>
                <w:b/>
                <w:color w:val="0F172A"/>
                <w:sz w:val="17"/>
              </w:rPr>
              <w:t>SLI/SLO, Error Budget &amp; Reliability Governance</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Implements Google SRE burn-rate alerting and executive release freeze policies.</w:t>
            </w:r>
          </w:p>
        </w:tc>
      </w:tr>
      <w:tr>
        <w:trPr>
          <w:cantSplit/>
        </w:trPr>
        <w:tc>
          <w:tcPr>
            <w:tcW w:type="dxa" w:w="3312"/>
            <w:shd w:fill="F8FAFC"/>
            <w:tcMar>
              <w:top w:w="60" w:type="dxa"/>
              <w:bottom w:w="60" w:type="dxa"/>
              <w:left w:w="80" w:type="dxa"/>
              <w:right w:w="80" w:type="dxa"/>
            </w:tcMar>
          </w:tcPr>
          <w:p>
            <w:pPr>
              <w:spacing w:before="0" w:after="0"/>
              <w:jc w:val="center"/>
            </w:pPr>
            <w:r>
              <w:rPr>
                <w:rFonts w:ascii="Segoe UI" w:hAnsi="Segoe UI"/>
                <w:b/>
                <w:color w:val="2563EB"/>
                <w:sz w:val="17"/>
              </w:rPr>
              <w:t>O5</w:t>
            </w:r>
          </w:p>
        </w:tc>
        <w:tc>
          <w:tcPr>
            <w:tcW w:type="dxa" w:w="3312"/>
            <w:shd w:fill="F8FAFC"/>
            <w:tcMar>
              <w:top w:w="60" w:type="dxa"/>
              <w:bottom w:w="60" w:type="dxa"/>
              <w:left w:w="80" w:type="dxa"/>
              <w:right w:w="80" w:type="dxa"/>
            </w:tcMar>
          </w:tcPr>
          <w:p>
            <w:pPr>
              <w:spacing w:before="0" w:after="0"/>
            </w:pPr>
            <w:r>
              <w:rPr>
                <w:rFonts w:ascii="Segoe UI" w:hAnsi="Segoe UI"/>
                <w:b/>
                <w:color w:val="0F172A"/>
                <w:sz w:val="17"/>
              </w:rPr>
              <w:t>Dashboards, Runbooks &amp; Operational Readiness</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Enforces 100% runbook URLs on high-severity alerts and decommissions stale dashboards.</w:t>
            </w:r>
          </w:p>
        </w:tc>
      </w:tr>
      <w:tr>
        <w:trPr>
          <w:cantSplit/>
        </w:trPr>
        <w:tc>
          <w:tcPr>
            <w:tcW w:type="dxa" w:w="3312"/>
            <w:shd w:fill="FFFFFF"/>
            <w:tcMar>
              <w:top w:w="60" w:type="dxa"/>
              <w:bottom w:w="60" w:type="dxa"/>
              <w:left w:w="80" w:type="dxa"/>
              <w:right w:w="80" w:type="dxa"/>
            </w:tcMar>
          </w:tcPr>
          <w:p>
            <w:pPr>
              <w:spacing w:before="0" w:after="0"/>
              <w:jc w:val="center"/>
            </w:pPr>
            <w:r>
              <w:rPr>
                <w:rFonts w:ascii="Segoe UI" w:hAnsi="Segoe UI"/>
                <w:b/>
                <w:color w:val="2563EB"/>
                <w:sz w:val="17"/>
              </w:rPr>
              <w:t>O6</w:t>
            </w:r>
          </w:p>
        </w:tc>
        <w:tc>
          <w:tcPr>
            <w:tcW w:type="dxa" w:w="3312"/>
            <w:shd w:fill="FFFFFF"/>
            <w:tcMar>
              <w:top w:w="60" w:type="dxa"/>
              <w:bottom w:w="60" w:type="dxa"/>
              <w:left w:w="80" w:type="dxa"/>
              <w:right w:w="80" w:type="dxa"/>
            </w:tcMar>
          </w:tcPr>
          <w:p>
            <w:pPr>
              <w:spacing w:before="0" w:after="0"/>
            </w:pPr>
            <w:r>
              <w:rPr>
                <w:rFonts w:ascii="Segoe UI" w:hAnsi="Segoe UI"/>
                <w:b/>
                <w:color w:val="0F172A"/>
                <w:sz w:val="17"/>
              </w:rPr>
              <w:t>Incident, RCA &amp; Continuous Improvement</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Transitions organizations to automated incident timelines and blameless post-mortems.</w:t>
            </w:r>
          </w:p>
        </w:tc>
      </w:tr>
      <w:tr>
        <w:trPr>
          <w:cantSplit/>
        </w:trPr>
        <w:tc>
          <w:tcPr>
            <w:tcW w:type="dxa" w:w="3312"/>
            <w:shd w:fill="F8FAFC"/>
            <w:tcMar>
              <w:top w:w="60" w:type="dxa"/>
              <w:bottom w:w="60" w:type="dxa"/>
              <w:left w:w="80" w:type="dxa"/>
              <w:right w:w="80" w:type="dxa"/>
            </w:tcMar>
          </w:tcPr>
          <w:p>
            <w:pPr>
              <w:spacing w:before="0" w:after="0"/>
              <w:jc w:val="center"/>
            </w:pPr>
            <w:r>
              <w:rPr>
                <w:rFonts w:ascii="Segoe UI" w:hAnsi="Segoe UI"/>
                <w:b/>
                <w:color w:val="2563EB"/>
                <w:sz w:val="17"/>
              </w:rPr>
              <w:t>O7</w:t>
            </w:r>
          </w:p>
        </w:tc>
        <w:tc>
          <w:tcPr>
            <w:tcW w:type="dxa" w:w="3312"/>
            <w:shd w:fill="F8FAFC"/>
            <w:tcMar>
              <w:top w:w="60" w:type="dxa"/>
              <w:bottom w:w="60" w:type="dxa"/>
              <w:left w:w="80" w:type="dxa"/>
              <w:right w:w="80" w:type="dxa"/>
            </w:tcMar>
          </w:tcPr>
          <w:p>
            <w:pPr>
              <w:spacing w:before="0" w:after="0"/>
            </w:pPr>
            <w:r>
              <w:rPr>
                <w:rFonts w:ascii="Segoe UI" w:hAnsi="Segoe UI"/>
                <w:b/>
                <w:color w:val="0F172A"/>
                <w:sz w:val="17"/>
              </w:rPr>
              <w:t>Telemetry Cost, Retention, Access &amp; Audit Evidence</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Controls logging ingestion spend, implements tiered retention, and enforces zero-PII.</w:t>
            </w:r>
          </w:p>
        </w:tc>
      </w:tr>
      <w:tr>
        <w:trPr>
          <w:cantSplit/>
        </w:trPr>
        <w:tc>
          <w:tcPr>
            <w:tcW w:type="dxa" w:w="3312"/>
            <w:shd w:fill="FFFFFF"/>
            <w:tcMar>
              <w:top w:w="60" w:type="dxa"/>
              <w:bottom w:w="60" w:type="dxa"/>
              <w:left w:w="80" w:type="dxa"/>
              <w:right w:w="80" w:type="dxa"/>
            </w:tcMar>
          </w:tcPr>
          <w:p>
            <w:pPr>
              <w:spacing w:before="0" w:after="0"/>
              <w:jc w:val="center"/>
            </w:pPr>
            <w:r>
              <w:rPr>
                <w:rFonts w:ascii="Segoe UI" w:hAnsi="Segoe UI"/>
                <w:b/>
                <w:color w:val="2563EB"/>
                <w:sz w:val="17"/>
              </w:rPr>
              <w:t>O8</w:t>
            </w:r>
          </w:p>
        </w:tc>
        <w:tc>
          <w:tcPr>
            <w:tcW w:type="dxa" w:w="3312"/>
            <w:shd w:fill="FFFFFF"/>
            <w:tcMar>
              <w:top w:w="60" w:type="dxa"/>
              <w:bottom w:w="60" w:type="dxa"/>
              <w:left w:w="80" w:type="dxa"/>
              <w:right w:w="80" w:type="dxa"/>
            </w:tcMar>
          </w:tcPr>
          <w:p>
            <w:pPr>
              <w:spacing w:before="0" w:after="0"/>
            </w:pPr>
            <w:r>
              <w:rPr>
                <w:rFonts w:ascii="Segoe UI" w:hAnsi="Segoe UI"/>
                <w:b/>
                <w:color w:val="0F172A"/>
                <w:sz w:val="17"/>
              </w:rPr>
              <w:t>Data Product &amp; Pipeline Observability</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MANDATORY DIFFERENTIATOR: Monitors Airflow/Glue batch freshness, Kafka lag, and schema drift.</w:t>
            </w:r>
          </w:p>
        </w:tc>
      </w:tr>
      <w:tr>
        <w:trPr>
          <w:cantSplit/>
        </w:trPr>
        <w:tc>
          <w:tcPr>
            <w:tcW w:type="dxa" w:w="3312"/>
            <w:shd w:fill="F8FAFC"/>
            <w:tcMar>
              <w:top w:w="60" w:type="dxa"/>
              <w:bottom w:w="60" w:type="dxa"/>
              <w:left w:w="80" w:type="dxa"/>
              <w:right w:w="80" w:type="dxa"/>
            </w:tcMar>
          </w:tcPr>
          <w:p>
            <w:pPr>
              <w:spacing w:before="0" w:after="0"/>
              <w:jc w:val="center"/>
            </w:pPr>
            <w:r>
              <w:rPr>
                <w:rFonts w:ascii="Segoe UI" w:hAnsi="Segoe UI"/>
                <w:b/>
                <w:color w:val="2563EB"/>
                <w:sz w:val="17"/>
              </w:rPr>
              <w:t>O9</w:t>
            </w:r>
          </w:p>
        </w:tc>
        <w:tc>
          <w:tcPr>
            <w:tcW w:type="dxa" w:w="3312"/>
            <w:shd w:fill="F8FAFC"/>
            <w:tcMar>
              <w:top w:w="60" w:type="dxa"/>
              <w:bottom w:w="60" w:type="dxa"/>
              <w:left w:w="80" w:type="dxa"/>
              <w:right w:w="80" w:type="dxa"/>
            </w:tcMar>
          </w:tcPr>
          <w:p>
            <w:pPr>
              <w:spacing w:before="0" w:after="0"/>
            </w:pPr>
            <w:r>
              <w:rPr>
                <w:rFonts w:ascii="Segoe UI" w:hAnsi="Segoe UI"/>
                <w:b/>
                <w:color w:val="0F172A"/>
                <w:sz w:val="17"/>
              </w:rPr>
              <w:t>Tool Architecture, Integration &amp; Rationalization</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MANDATORY DIFFERENTIATOR: Eliminates multi-vendor overlap and cuts SaaS licensing spend.</w:t>
            </w:r>
          </w:p>
        </w:tc>
      </w:tr>
      <w:tr>
        <w:trPr>
          <w:cantSplit/>
        </w:trPr>
        <w:tc>
          <w:tcPr>
            <w:tcW w:type="dxa" w:w="3312"/>
            <w:shd w:fill="FFFFFF"/>
            <w:tcMar>
              <w:top w:w="60" w:type="dxa"/>
              <w:bottom w:w="60" w:type="dxa"/>
              <w:left w:w="80" w:type="dxa"/>
              <w:right w:w="80" w:type="dxa"/>
            </w:tcMar>
          </w:tcPr>
          <w:p>
            <w:pPr>
              <w:spacing w:before="0" w:after="0"/>
              <w:jc w:val="center"/>
            </w:pPr>
            <w:r>
              <w:rPr>
                <w:rFonts w:ascii="Segoe UI" w:hAnsi="Segoe UI"/>
                <w:b/>
                <w:color w:val="2563EB"/>
                <w:sz w:val="17"/>
              </w:rPr>
              <w:t>O10</w:t>
            </w:r>
          </w:p>
        </w:tc>
        <w:tc>
          <w:tcPr>
            <w:tcW w:type="dxa" w:w="3312"/>
            <w:shd w:fill="FFFFFF"/>
            <w:tcMar>
              <w:top w:w="60" w:type="dxa"/>
              <w:bottom w:w="60" w:type="dxa"/>
              <w:left w:w="80" w:type="dxa"/>
              <w:right w:w="80" w:type="dxa"/>
            </w:tcMar>
          </w:tcPr>
          <w:p>
            <w:pPr>
              <w:spacing w:before="0" w:after="0"/>
            </w:pPr>
            <w:r>
              <w:rPr>
                <w:rFonts w:ascii="Segoe UI" w:hAnsi="Segoe UI"/>
                <w:b/>
                <w:color w:val="0F172A"/>
                <w:sz w:val="17"/>
              </w:rPr>
              <w:t>AI / GenAI / Agent Observability Extension</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OPTIONAL EXTENSION: Evaluates LLM latency, token FinOps, RAG retrieval quality, and safety.</w:t>
            </w:r>
          </w:p>
        </w:tc>
      </w:tr>
    </w:tbl>
    <w:p>
      <w:pPr>
        <w:spacing w:after="60"/>
      </w:pPr>
    </w:p>
    <w:p>
      <w:pPr>
        <w:keepNext/>
        <w:spacing w:before="280" w:after="80"/>
      </w:pPr>
      <w:r>
        <w:rPr>
          <w:rFonts w:ascii="Segoe UI" w:hAnsi="Segoe UI"/>
          <w:b/>
          <w:color w:val="1E3A8A"/>
          <w:sz w:val="25"/>
        </w:rPr>
        <w:t>11. Master Universal Evidence Register (EV01–EV12)</w:t>
      </w:r>
    </w:p>
    <w:p>
      <w:pPr>
        <w:spacing w:before="0" w:after="60" w:line="276" w:lineRule="auto"/>
      </w:pPr>
      <w:r>
        <w:rPr>
          <w:rFonts w:ascii="Segoe UI" w:hAnsi="Segoe UI"/>
          <w:color w:val="0F172A"/>
          <w:sz w:val="19"/>
        </w:rPr>
        <w:t>Vithi replaces subjective interviews with 12 immutable evidence artifacts across any enterprise estate: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rPr>
          <w:tblHeader/>
          <w:cantSplit/>
        </w:trPr>
        <w:tc>
          <w:tcPr>
            <w:tcW w:type="dxa" w:w="3312"/>
            <w:shd w:fill="334155"/>
            <w:tcMar>
              <w:top w:w="120" w:type="dxa"/>
              <w:bottom w:w="120" w:type="dxa"/>
              <w:left w:w="140" w:type="dxa"/>
              <w:right w:w="140" w:type="dxa"/>
            </w:tcMar>
          </w:tcPr>
          <w:p>
            <w:pPr>
              <w:spacing w:before="0" w:after="0"/>
              <w:jc w:val="left"/>
            </w:pPr>
            <w:r>
              <w:rPr>
                <w:rFonts w:ascii="Segoe UI" w:hAnsi="Segoe UI"/>
                <w:b/>
                <w:color w:val="FFFFFF"/>
                <w:sz w:val="18"/>
              </w:rPr>
              <w:t>Evidence ID</w:t>
            </w:r>
          </w:p>
        </w:tc>
        <w:tc>
          <w:tcPr>
            <w:tcW w:type="dxa" w:w="3312"/>
            <w:shd w:fill="334155"/>
            <w:tcMar>
              <w:top w:w="120" w:type="dxa"/>
              <w:bottom w:w="120" w:type="dxa"/>
              <w:left w:w="140" w:type="dxa"/>
              <w:right w:w="140" w:type="dxa"/>
            </w:tcMar>
          </w:tcPr>
          <w:p>
            <w:pPr>
              <w:spacing w:before="0" w:after="0"/>
              <w:jc w:val="left"/>
            </w:pPr>
            <w:r>
              <w:rPr>
                <w:rFonts w:ascii="Segoe UI" w:hAnsi="Segoe UI"/>
                <w:b/>
                <w:color w:val="FFFFFF"/>
                <w:sz w:val="18"/>
              </w:rPr>
              <w:t>Evidence artifact</w:t>
            </w:r>
          </w:p>
        </w:tc>
        <w:tc>
          <w:tcPr>
            <w:tcW w:type="dxa" w:w="3312"/>
            <w:shd w:fill="334155"/>
            <w:tcMar>
              <w:top w:w="120" w:type="dxa"/>
              <w:bottom w:w="120" w:type="dxa"/>
              <w:left w:w="140" w:type="dxa"/>
              <w:right w:w="140" w:type="dxa"/>
            </w:tcMar>
          </w:tcPr>
          <w:p>
            <w:pPr>
              <w:spacing w:before="0" w:after="0"/>
              <w:jc w:val="left"/>
            </w:pPr>
            <w:r>
              <w:rPr>
                <w:rFonts w:ascii="Segoe UI" w:hAnsi="Segoe UI"/>
                <w:b/>
                <w:color w:val="FFFFFF"/>
                <w:sz w:val="18"/>
              </w:rPr>
              <w:t>Platform-neutral examples</w:t>
            </w:r>
          </w:p>
        </w:tc>
      </w:tr>
      <w:tr>
        <w:trPr>
          <w:cantSplit/>
        </w:trPr>
        <w:tc>
          <w:tcPr>
            <w:tcW w:type="dxa" w:w="3312"/>
            <w:shd w:fill="FFFFFF"/>
            <w:tcMar>
              <w:top w:w="60" w:type="dxa"/>
              <w:bottom w:w="60" w:type="dxa"/>
              <w:left w:w="80" w:type="dxa"/>
              <w:right w:w="80" w:type="dxa"/>
            </w:tcMar>
          </w:tcPr>
          <w:p>
            <w:pPr>
              <w:spacing w:before="0" w:after="0"/>
              <w:jc w:val="center"/>
            </w:pPr>
            <w:r>
              <w:rPr>
                <w:rFonts w:ascii="Segoe UI" w:hAnsi="Segoe UI"/>
                <w:b/>
                <w:color w:val="1E3A8A"/>
                <w:sz w:val="17"/>
              </w:rPr>
              <w:t>EV01</w:t>
            </w:r>
          </w:p>
        </w:tc>
        <w:tc>
          <w:tcPr>
            <w:tcW w:type="dxa" w:w="3312"/>
            <w:shd w:fill="FFFFFF"/>
            <w:tcMar>
              <w:top w:w="60" w:type="dxa"/>
              <w:bottom w:w="60" w:type="dxa"/>
              <w:left w:w="80" w:type="dxa"/>
              <w:right w:w="80" w:type="dxa"/>
            </w:tcMar>
          </w:tcPr>
          <w:p>
            <w:pPr>
              <w:spacing w:before="0" w:after="0"/>
            </w:pPr>
            <w:r>
              <w:rPr>
                <w:rFonts w:ascii="Segoe UI" w:hAnsi="Segoe UI"/>
                <w:b/>
                <w:color w:val="0F172A"/>
                <w:sz w:val="17"/>
              </w:rPr>
              <w:t>Service catalogue / ownership register</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CMDB, service registry, application inventory</w:t>
            </w:r>
          </w:p>
        </w:tc>
      </w:tr>
      <w:tr>
        <w:trPr>
          <w:cantSplit/>
        </w:trPr>
        <w:tc>
          <w:tcPr>
            <w:tcW w:type="dxa" w:w="3312"/>
            <w:shd w:fill="F8FAFC"/>
            <w:tcMar>
              <w:top w:w="60" w:type="dxa"/>
              <w:bottom w:w="60" w:type="dxa"/>
              <w:left w:w="80" w:type="dxa"/>
              <w:right w:w="80" w:type="dxa"/>
            </w:tcMar>
          </w:tcPr>
          <w:p>
            <w:pPr>
              <w:spacing w:before="0" w:after="0"/>
              <w:jc w:val="center"/>
            </w:pPr>
            <w:r>
              <w:rPr>
                <w:rFonts w:ascii="Segoe UI" w:hAnsi="Segoe UI"/>
                <w:b/>
                <w:color w:val="1E3A8A"/>
                <w:sz w:val="17"/>
              </w:rPr>
              <w:t>EV02</w:t>
            </w:r>
          </w:p>
        </w:tc>
        <w:tc>
          <w:tcPr>
            <w:tcW w:type="dxa" w:w="3312"/>
            <w:shd w:fill="F8FAFC"/>
            <w:tcMar>
              <w:top w:w="60" w:type="dxa"/>
              <w:bottom w:w="60" w:type="dxa"/>
              <w:left w:w="80" w:type="dxa"/>
              <w:right w:w="80" w:type="dxa"/>
            </w:tcMar>
          </w:tcPr>
          <w:p>
            <w:pPr>
              <w:spacing w:before="0" w:after="0"/>
            </w:pPr>
            <w:r>
              <w:rPr>
                <w:rFonts w:ascii="Segoe UI" w:hAnsi="Segoe UI"/>
                <w:b/>
                <w:color w:val="0F172A"/>
                <w:sz w:val="17"/>
              </w:rPr>
              <w:t>Telemetry architecture</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Cloud-native monitor, APM, OpenTelemetry, Grafana</w:t>
            </w:r>
          </w:p>
        </w:tc>
      </w:tr>
      <w:tr>
        <w:trPr>
          <w:cantSplit/>
        </w:trPr>
        <w:tc>
          <w:tcPr>
            <w:tcW w:type="dxa" w:w="3312"/>
            <w:shd w:fill="FFFFFF"/>
            <w:tcMar>
              <w:top w:w="60" w:type="dxa"/>
              <w:bottom w:w="60" w:type="dxa"/>
              <w:left w:w="80" w:type="dxa"/>
              <w:right w:w="80" w:type="dxa"/>
            </w:tcMar>
          </w:tcPr>
          <w:p>
            <w:pPr>
              <w:spacing w:before="0" w:after="0"/>
              <w:jc w:val="center"/>
            </w:pPr>
            <w:r>
              <w:rPr>
                <w:rFonts w:ascii="Segoe UI" w:hAnsi="Segoe UI"/>
                <w:b/>
                <w:color w:val="1E3A8A"/>
                <w:sz w:val="17"/>
              </w:rPr>
              <w:t>EV03</w:t>
            </w:r>
          </w:p>
        </w:tc>
        <w:tc>
          <w:tcPr>
            <w:tcW w:type="dxa" w:w="3312"/>
            <w:shd w:fill="FFFFFF"/>
            <w:tcMar>
              <w:top w:w="60" w:type="dxa"/>
              <w:bottom w:w="60" w:type="dxa"/>
              <w:left w:w="80" w:type="dxa"/>
              <w:right w:w="80" w:type="dxa"/>
            </w:tcMar>
          </w:tcPr>
          <w:p>
            <w:pPr>
              <w:spacing w:before="0" w:after="0"/>
            </w:pPr>
            <w:r>
              <w:rPr>
                <w:rFonts w:ascii="Segoe UI" w:hAnsi="Segoe UI"/>
                <w:b/>
                <w:color w:val="0F172A"/>
                <w:sz w:val="17"/>
              </w:rPr>
              <w:t>Logs / metrics / traces coverage</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CloudWatch, Azure Monitor, GCP Logging, Datadog, Splunk</w:t>
            </w:r>
          </w:p>
        </w:tc>
      </w:tr>
      <w:tr>
        <w:trPr>
          <w:cantSplit/>
        </w:trPr>
        <w:tc>
          <w:tcPr>
            <w:tcW w:type="dxa" w:w="3312"/>
            <w:shd w:fill="F8FAFC"/>
            <w:tcMar>
              <w:top w:w="60" w:type="dxa"/>
              <w:bottom w:w="60" w:type="dxa"/>
              <w:left w:w="80" w:type="dxa"/>
              <w:right w:w="80" w:type="dxa"/>
            </w:tcMar>
          </w:tcPr>
          <w:p>
            <w:pPr>
              <w:spacing w:before="0" w:after="0"/>
              <w:jc w:val="center"/>
            </w:pPr>
            <w:r>
              <w:rPr>
                <w:rFonts w:ascii="Segoe UI" w:hAnsi="Segoe UI"/>
                <w:b/>
                <w:color w:val="1E3A8A"/>
                <w:sz w:val="17"/>
              </w:rPr>
              <w:t>EV04</w:t>
            </w:r>
          </w:p>
        </w:tc>
        <w:tc>
          <w:tcPr>
            <w:tcW w:type="dxa" w:w="3312"/>
            <w:shd w:fill="F8FAFC"/>
            <w:tcMar>
              <w:top w:w="60" w:type="dxa"/>
              <w:bottom w:w="60" w:type="dxa"/>
              <w:left w:w="80" w:type="dxa"/>
              <w:right w:w="80" w:type="dxa"/>
            </w:tcMar>
          </w:tcPr>
          <w:p>
            <w:pPr>
              <w:spacing w:before="0" w:after="0"/>
            </w:pPr>
            <w:r>
              <w:rPr>
                <w:rFonts w:ascii="Segoe UI" w:hAnsi="Segoe UI"/>
                <w:b/>
                <w:color w:val="0F172A"/>
                <w:sz w:val="17"/>
              </w:rPr>
              <w:t>Alert inventory and pager history</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PagerDuty, Opsgenie, ServiceNow, Jira</w:t>
            </w:r>
          </w:p>
        </w:tc>
      </w:tr>
      <w:tr>
        <w:trPr>
          <w:cantSplit/>
        </w:trPr>
        <w:tc>
          <w:tcPr>
            <w:tcW w:type="dxa" w:w="3312"/>
            <w:shd w:fill="FFFFFF"/>
            <w:tcMar>
              <w:top w:w="60" w:type="dxa"/>
              <w:bottom w:w="60" w:type="dxa"/>
              <w:left w:w="80" w:type="dxa"/>
              <w:right w:w="80" w:type="dxa"/>
            </w:tcMar>
          </w:tcPr>
          <w:p>
            <w:pPr>
              <w:spacing w:before="0" w:after="0"/>
              <w:jc w:val="center"/>
            </w:pPr>
            <w:r>
              <w:rPr>
                <w:rFonts w:ascii="Segoe UI" w:hAnsi="Segoe UI"/>
                <w:b/>
                <w:color w:val="1E3A8A"/>
                <w:sz w:val="17"/>
              </w:rPr>
              <w:t>EV05</w:t>
            </w:r>
          </w:p>
        </w:tc>
        <w:tc>
          <w:tcPr>
            <w:tcW w:type="dxa" w:w="3312"/>
            <w:shd w:fill="FFFFFF"/>
            <w:tcMar>
              <w:top w:w="60" w:type="dxa"/>
              <w:bottom w:w="60" w:type="dxa"/>
              <w:left w:w="80" w:type="dxa"/>
              <w:right w:w="80" w:type="dxa"/>
            </w:tcMar>
          </w:tcPr>
          <w:p>
            <w:pPr>
              <w:spacing w:before="0" w:after="0"/>
            </w:pPr>
            <w:r>
              <w:rPr>
                <w:rFonts w:ascii="Segoe UI" w:hAnsi="Segoe UI"/>
                <w:b/>
                <w:color w:val="0F172A"/>
                <w:sz w:val="17"/>
              </w:rPr>
              <w:t>SLO register and SLO history</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SLO dashboards, service reviews</w:t>
            </w:r>
          </w:p>
        </w:tc>
      </w:tr>
      <w:tr>
        <w:trPr>
          <w:cantSplit/>
        </w:trPr>
        <w:tc>
          <w:tcPr>
            <w:tcW w:type="dxa" w:w="3312"/>
            <w:shd w:fill="F8FAFC"/>
            <w:tcMar>
              <w:top w:w="60" w:type="dxa"/>
              <w:bottom w:w="60" w:type="dxa"/>
              <w:left w:w="80" w:type="dxa"/>
              <w:right w:w="80" w:type="dxa"/>
            </w:tcMar>
          </w:tcPr>
          <w:p>
            <w:pPr>
              <w:spacing w:before="0" w:after="0"/>
              <w:jc w:val="center"/>
            </w:pPr>
            <w:r>
              <w:rPr>
                <w:rFonts w:ascii="Segoe UI" w:hAnsi="Segoe UI"/>
                <w:b/>
                <w:color w:val="1E3A8A"/>
                <w:sz w:val="17"/>
              </w:rPr>
              <w:t>EV06</w:t>
            </w:r>
          </w:p>
        </w:tc>
        <w:tc>
          <w:tcPr>
            <w:tcW w:type="dxa" w:w="3312"/>
            <w:shd w:fill="F8FAFC"/>
            <w:tcMar>
              <w:top w:w="60" w:type="dxa"/>
              <w:bottom w:w="60" w:type="dxa"/>
              <w:left w:w="80" w:type="dxa"/>
              <w:right w:w="80" w:type="dxa"/>
            </w:tcMar>
          </w:tcPr>
          <w:p>
            <w:pPr>
              <w:spacing w:before="0" w:after="0"/>
            </w:pPr>
            <w:r>
              <w:rPr>
                <w:rFonts w:ascii="Segoe UI" w:hAnsi="Segoe UI"/>
                <w:b/>
                <w:color w:val="0F172A"/>
                <w:sz w:val="17"/>
              </w:rPr>
              <w:t>Incident register</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ITSM tickets, incident timelines</w:t>
            </w:r>
          </w:p>
        </w:tc>
      </w:tr>
      <w:tr>
        <w:trPr>
          <w:cantSplit/>
        </w:trPr>
        <w:tc>
          <w:tcPr>
            <w:tcW w:type="dxa" w:w="3312"/>
            <w:shd w:fill="FFFFFF"/>
            <w:tcMar>
              <w:top w:w="60" w:type="dxa"/>
              <w:bottom w:w="60" w:type="dxa"/>
              <w:left w:w="80" w:type="dxa"/>
              <w:right w:w="80" w:type="dxa"/>
            </w:tcMar>
          </w:tcPr>
          <w:p>
            <w:pPr>
              <w:spacing w:before="0" w:after="0"/>
              <w:jc w:val="center"/>
            </w:pPr>
            <w:r>
              <w:rPr>
                <w:rFonts w:ascii="Segoe UI" w:hAnsi="Segoe UI"/>
                <w:b/>
                <w:color w:val="1E3A8A"/>
                <w:sz w:val="17"/>
              </w:rPr>
              <w:t>EV07</w:t>
            </w:r>
          </w:p>
        </w:tc>
        <w:tc>
          <w:tcPr>
            <w:tcW w:type="dxa" w:w="3312"/>
            <w:shd w:fill="FFFFFF"/>
            <w:tcMar>
              <w:top w:w="60" w:type="dxa"/>
              <w:bottom w:w="60" w:type="dxa"/>
              <w:left w:w="80" w:type="dxa"/>
              <w:right w:w="80" w:type="dxa"/>
            </w:tcMar>
          </w:tcPr>
          <w:p>
            <w:pPr>
              <w:spacing w:before="0" w:after="0"/>
            </w:pPr>
            <w:r>
              <w:rPr>
                <w:rFonts w:ascii="Segoe UI" w:hAnsi="Segoe UI"/>
                <w:b/>
                <w:color w:val="0F172A"/>
                <w:sz w:val="17"/>
              </w:rPr>
              <w:t>RCA/PIR samples</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Post-incident reviews, known-error records</w:t>
            </w:r>
          </w:p>
        </w:tc>
      </w:tr>
      <w:tr>
        <w:trPr>
          <w:cantSplit/>
        </w:trPr>
        <w:tc>
          <w:tcPr>
            <w:tcW w:type="dxa" w:w="3312"/>
            <w:shd w:fill="F8FAFC"/>
            <w:tcMar>
              <w:top w:w="60" w:type="dxa"/>
              <w:bottom w:w="60" w:type="dxa"/>
              <w:left w:w="80" w:type="dxa"/>
              <w:right w:w="80" w:type="dxa"/>
            </w:tcMar>
          </w:tcPr>
          <w:p>
            <w:pPr>
              <w:spacing w:before="0" w:after="0"/>
              <w:jc w:val="center"/>
            </w:pPr>
            <w:r>
              <w:rPr>
                <w:rFonts w:ascii="Segoe UI" w:hAnsi="Segoe UI"/>
                <w:b/>
                <w:color w:val="1E3A8A"/>
                <w:sz w:val="17"/>
              </w:rPr>
              <w:t>EV08</w:t>
            </w:r>
          </w:p>
        </w:tc>
        <w:tc>
          <w:tcPr>
            <w:tcW w:type="dxa" w:w="3312"/>
            <w:shd w:fill="F8FAFC"/>
            <w:tcMar>
              <w:top w:w="60" w:type="dxa"/>
              <w:bottom w:w="60" w:type="dxa"/>
              <w:left w:w="80" w:type="dxa"/>
              <w:right w:w="80" w:type="dxa"/>
            </w:tcMar>
          </w:tcPr>
          <w:p>
            <w:pPr>
              <w:spacing w:before="0" w:after="0"/>
            </w:pPr>
            <w:r>
              <w:rPr>
                <w:rFonts w:ascii="Segoe UI" w:hAnsi="Segoe UI"/>
                <w:b/>
                <w:color w:val="0F172A"/>
                <w:sz w:val="17"/>
              </w:rPr>
              <w:t>Dashboard inventory</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Grafana, Datadog, New Relic, Splunk dashboards</w:t>
            </w:r>
          </w:p>
        </w:tc>
      </w:tr>
      <w:tr>
        <w:trPr>
          <w:cantSplit/>
        </w:trPr>
        <w:tc>
          <w:tcPr>
            <w:tcW w:type="dxa" w:w="3312"/>
            <w:shd w:fill="FFFFFF"/>
            <w:tcMar>
              <w:top w:w="60" w:type="dxa"/>
              <w:bottom w:w="60" w:type="dxa"/>
              <w:left w:w="80" w:type="dxa"/>
              <w:right w:w="80" w:type="dxa"/>
            </w:tcMar>
          </w:tcPr>
          <w:p>
            <w:pPr>
              <w:spacing w:before="0" w:after="0"/>
              <w:jc w:val="center"/>
            </w:pPr>
            <w:r>
              <w:rPr>
                <w:rFonts w:ascii="Segoe UI" w:hAnsi="Segoe UI"/>
                <w:b/>
                <w:color w:val="1E3A8A"/>
                <w:sz w:val="17"/>
              </w:rPr>
              <w:t>EV09</w:t>
            </w:r>
          </w:p>
        </w:tc>
        <w:tc>
          <w:tcPr>
            <w:tcW w:type="dxa" w:w="3312"/>
            <w:shd w:fill="FFFFFF"/>
            <w:tcMar>
              <w:top w:w="60" w:type="dxa"/>
              <w:bottom w:w="60" w:type="dxa"/>
              <w:left w:w="80" w:type="dxa"/>
              <w:right w:w="80" w:type="dxa"/>
            </w:tcMar>
          </w:tcPr>
          <w:p>
            <w:pPr>
              <w:spacing w:before="0" w:after="0"/>
            </w:pPr>
            <w:r>
              <w:rPr>
                <w:rFonts w:ascii="Segoe UI" w:hAnsi="Segoe UI"/>
                <w:b/>
                <w:color w:val="0F172A"/>
                <w:sz w:val="17"/>
              </w:rPr>
              <w:t>Runbook inventory</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Confluence, ServiceNow KB, Git repos</w:t>
            </w:r>
          </w:p>
        </w:tc>
      </w:tr>
      <w:tr>
        <w:trPr>
          <w:cantSplit/>
        </w:trPr>
        <w:tc>
          <w:tcPr>
            <w:tcW w:type="dxa" w:w="3312"/>
            <w:shd w:fill="F8FAFC"/>
            <w:tcMar>
              <w:top w:w="60" w:type="dxa"/>
              <w:bottom w:w="60" w:type="dxa"/>
              <w:left w:w="80" w:type="dxa"/>
              <w:right w:w="80" w:type="dxa"/>
            </w:tcMar>
          </w:tcPr>
          <w:p>
            <w:pPr>
              <w:spacing w:before="0" w:after="0"/>
              <w:jc w:val="center"/>
            </w:pPr>
            <w:r>
              <w:rPr>
                <w:rFonts w:ascii="Segoe UI" w:hAnsi="Segoe UI"/>
                <w:b/>
                <w:color w:val="1E3A8A"/>
                <w:sz w:val="17"/>
              </w:rPr>
              <w:t>EV10</w:t>
            </w:r>
          </w:p>
        </w:tc>
        <w:tc>
          <w:tcPr>
            <w:tcW w:type="dxa" w:w="3312"/>
            <w:shd w:fill="F8FAFC"/>
            <w:tcMar>
              <w:top w:w="60" w:type="dxa"/>
              <w:bottom w:w="60" w:type="dxa"/>
              <w:left w:w="80" w:type="dxa"/>
              <w:right w:w="80" w:type="dxa"/>
            </w:tcMar>
          </w:tcPr>
          <w:p>
            <w:pPr>
              <w:spacing w:before="0" w:after="0"/>
            </w:pPr>
            <w:r>
              <w:rPr>
                <w:rFonts w:ascii="Segoe UI" w:hAnsi="Segoe UI"/>
                <w:b/>
                <w:color w:val="0F172A"/>
                <w:sz w:val="17"/>
              </w:rPr>
              <w:t>Telemetry cost</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Cloud billing, vendor invoices, log ingestion volume</w:t>
            </w:r>
          </w:p>
        </w:tc>
      </w:tr>
      <w:tr>
        <w:trPr>
          <w:cantSplit/>
        </w:trPr>
        <w:tc>
          <w:tcPr>
            <w:tcW w:type="dxa" w:w="3312"/>
            <w:shd w:fill="FFFFFF"/>
            <w:tcMar>
              <w:top w:w="60" w:type="dxa"/>
              <w:bottom w:w="60" w:type="dxa"/>
              <w:left w:w="80" w:type="dxa"/>
              <w:right w:w="80" w:type="dxa"/>
            </w:tcMar>
          </w:tcPr>
          <w:p>
            <w:pPr>
              <w:spacing w:before="0" w:after="0"/>
              <w:jc w:val="center"/>
            </w:pPr>
            <w:r>
              <w:rPr>
                <w:rFonts w:ascii="Segoe UI" w:hAnsi="Segoe UI"/>
                <w:b/>
                <w:color w:val="1E3A8A"/>
                <w:sz w:val="17"/>
              </w:rPr>
              <w:t>EV11</w:t>
            </w:r>
          </w:p>
        </w:tc>
        <w:tc>
          <w:tcPr>
            <w:tcW w:type="dxa" w:w="3312"/>
            <w:shd w:fill="FFFFFF"/>
            <w:tcMar>
              <w:top w:w="60" w:type="dxa"/>
              <w:bottom w:w="60" w:type="dxa"/>
              <w:left w:w="80" w:type="dxa"/>
              <w:right w:w="80" w:type="dxa"/>
            </w:tcMar>
          </w:tcPr>
          <w:p>
            <w:pPr>
              <w:spacing w:before="0" w:after="0"/>
            </w:pPr>
            <w:r>
              <w:rPr>
                <w:rFonts w:ascii="Segoe UI" w:hAnsi="Segoe UI"/>
                <w:b/>
                <w:color w:val="0F172A"/>
                <w:sz w:val="17"/>
              </w:rPr>
              <w:t>Data pipeline observability</w:t>
            </w:r>
          </w:p>
        </w:tc>
        <w:tc>
          <w:tcPr>
            <w:tcW w:type="dxa" w:w="3312"/>
            <w:shd w:fill="FFFFFF"/>
            <w:tcMar>
              <w:top w:w="60" w:type="dxa"/>
              <w:bottom w:w="60" w:type="dxa"/>
              <w:left w:w="80" w:type="dxa"/>
              <w:right w:w="80" w:type="dxa"/>
            </w:tcMar>
          </w:tcPr>
          <w:p>
            <w:pPr>
              <w:spacing w:before="0" w:after="0"/>
            </w:pPr>
            <w:r>
              <w:rPr>
                <w:rFonts w:ascii="Segoe UI" w:hAnsi="Segoe UI"/>
                <w:color w:val="0F172A"/>
                <w:sz w:val="17"/>
              </w:rPr>
              <w:t>Airflow, dbt, Databricks, Snowflake, Glue, ADF, Composer</w:t>
            </w:r>
          </w:p>
        </w:tc>
      </w:tr>
      <w:tr>
        <w:trPr>
          <w:cantSplit/>
        </w:trPr>
        <w:tc>
          <w:tcPr>
            <w:tcW w:type="dxa" w:w="3312"/>
            <w:shd w:fill="F8FAFC"/>
            <w:tcMar>
              <w:top w:w="60" w:type="dxa"/>
              <w:bottom w:w="60" w:type="dxa"/>
              <w:left w:w="80" w:type="dxa"/>
              <w:right w:w="80" w:type="dxa"/>
            </w:tcMar>
          </w:tcPr>
          <w:p>
            <w:pPr>
              <w:spacing w:before="0" w:after="0"/>
              <w:jc w:val="center"/>
            </w:pPr>
            <w:r>
              <w:rPr>
                <w:rFonts w:ascii="Segoe UI" w:hAnsi="Segoe UI"/>
                <w:b/>
                <w:color w:val="1E3A8A"/>
                <w:sz w:val="17"/>
              </w:rPr>
              <w:t>EV12</w:t>
            </w:r>
          </w:p>
        </w:tc>
        <w:tc>
          <w:tcPr>
            <w:tcW w:type="dxa" w:w="3312"/>
            <w:shd w:fill="F8FAFC"/>
            <w:tcMar>
              <w:top w:w="60" w:type="dxa"/>
              <w:bottom w:w="60" w:type="dxa"/>
              <w:left w:w="80" w:type="dxa"/>
              <w:right w:w="80" w:type="dxa"/>
            </w:tcMar>
          </w:tcPr>
          <w:p>
            <w:pPr>
              <w:spacing w:before="0" w:after="0"/>
            </w:pPr>
            <w:r>
              <w:rPr>
                <w:rFonts w:ascii="Segoe UI" w:hAnsi="Segoe UI"/>
                <w:b/>
                <w:color w:val="0F172A"/>
                <w:sz w:val="17"/>
              </w:rPr>
              <w:t>AI/RAG observability</w:t>
            </w:r>
          </w:p>
        </w:tc>
        <w:tc>
          <w:tcPr>
            <w:tcW w:type="dxa" w:w="3312"/>
            <w:shd w:fill="F8FAFC"/>
            <w:tcMar>
              <w:top w:w="60" w:type="dxa"/>
              <w:bottom w:w="60" w:type="dxa"/>
              <w:left w:w="80" w:type="dxa"/>
              <w:right w:w="80" w:type="dxa"/>
            </w:tcMar>
          </w:tcPr>
          <w:p>
            <w:pPr>
              <w:spacing w:before="0" w:after="0"/>
            </w:pPr>
            <w:r>
              <w:rPr>
                <w:rFonts w:ascii="Segoe UI" w:hAnsi="Segoe UI"/>
                <w:color w:val="0F172A"/>
                <w:sz w:val="17"/>
              </w:rPr>
              <w:t>model logs, prompt traces, vector DB metrics, guardrail logs</w:t>
            </w:r>
          </w:p>
        </w:tc>
      </w:tr>
    </w:tbl>
    <w:p>
      <w:pPr>
        <w:spacing w:after="60"/>
      </w:pP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7"/>
      </w:rPr>
      <w:t>Critical Service &amp; Data Observability Readiness Assessment | Platform-Neutral Guide | v2.0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VITHI IT SOLUTIONS | MASTER OBSERVABILITY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