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8"/>
        </w:rPr>
        <w:t>VITHI CONSULTING CLIENT DISCOVERY INTAKE — PLATFORM-NEUTRAL EDITION</w:t>
      </w:r>
    </w:p>
    <w:p>
      <w:pPr>
        <w:spacing w:before="0" w:after="40"/>
      </w:pPr>
      <w:r>
        <w:rPr>
          <w:rFonts w:ascii="Segoe UI" w:hAnsi="Segoe UI"/>
          <w:b/>
          <w:color w:val="0F172A"/>
          <w:sz w:val="36"/>
        </w:rPr>
        <w:t>Observability Maturity Assessment Questionnaire</w:t>
      </w:r>
    </w:p>
    <w:p>
      <w:pPr>
        <w:spacing w:before="0" w:after="160"/>
      </w:pPr>
      <w:r>
        <w:rPr>
          <w:rFonts w:ascii="Segoe UI" w:hAnsi="Segoe UI"/>
          <w:i/>
          <w:color w:val="334155"/>
          <w:sz w:val="21"/>
        </w:rPr>
        <w:t>Cloud, Hybrid, Multi-Cloud, and Data Platform Diagnostic Diagnostic Protocol</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DIAGNOSTIC INTAKE INSTRUCTIONS</w:t>
              <w:br/>
            </w:r>
            <w:r>
              <w:rPr>
                <w:rFonts w:ascii="Segoe UI" w:hAnsi="Segoe UI"/>
                <w:color w:val="0F172A"/>
                <w:sz w:val="18"/>
              </w:rPr>
              <w:t>INSTRUCTION: This questionnaire captures the operational and technical baseline across your critical services, data pipelines, and tool stack. It is completed jointly by engineering leads and Vithi Principal SREs during the Phase-1 discovery intake. All evidence references correspond to immutable artifacts (EV01–EV12).</w:t>
            </w:r>
          </w:p>
        </w:tc>
      </w:tr>
    </w:tbl>
    <w:p>
      <w:pPr>
        <w:spacing w:after="60"/>
      </w:pPr>
    </w:p>
    <w:p>
      <w:pPr>
        <w:keepNext/>
        <w:spacing w:before="280" w:after="80"/>
      </w:pPr>
      <w:r>
        <w:rPr>
          <w:rFonts w:ascii="Segoe UI" w:hAnsi="Segoe UI"/>
          <w:b/>
          <w:color w:val="1E3A8A"/>
          <w:sz w:val="25"/>
        </w:rPr>
        <w:t>Part 0: Executive Business Triggers &amp; Catalysts</w:t>
      </w:r>
    </w:p>
    <w:p>
      <w:pPr>
        <w:spacing w:before="0" w:after="60" w:line="276" w:lineRule="auto"/>
      </w:pPr>
      <w:r>
        <w:rPr>
          <w:rFonts w:ascii="Segoe UI" w:hAnsi="Segoe UI"/>
          <w:color w:val="0F172A"/>
          <w:sz w:val="19"/>
        </w:rPr>
        <w:t>Identify the acute operational and business catalysts initiating this review: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20" w:type="dxa"/>
              <w:bottom w:w="120" w:type="dxa"/>
              <w:left w:w="140" w:type="dxa"/>
              <w:right w:w="140" w:type="dxa"/>
            </w:tcMar>
          </w:tcPr>
          <w:p>
            <w:pPr>
              <w:spacing w:before="0" w:after="0"/>
              <w:jc w:val="left"/>
            </w:pPr>
            <w:r>
              <w:rPr>
                <w:rFonts w:ascii="Segoe UI" w:hAnsi="Segoe UI"/>
                <w:b/>
                <w:color w:val="FFFFFF"/>
                <w:sz w:val="18"/>
              </w:rPr>
              <w:t>Trigger ID</w:t>
            </w:r>
          </w:p>
        </w:tc>
        <w:tc>
          <w:tcPr>
            <w:tcW w:type="dxa" w:w="3312"/>
            <w:shd w:fill="1E3A8A"/>
            <w:tcMar>
              <w:top w:w="120" w:type="dxa"/>
              <w:bottom w:w="120" w:type="dxa"/>
              <w:left w:w="140" w:type="dxa"/>
              <w:right w:w="140" w:type="dxa"/>
            </w:tcMar>
          </w:tcPr>
          <w:p>
            <w:pPr>
              <w:spacing w:before="0" w:after="0"/>
              <w:jc w:val="left"/>
            </w:pPr>
            <w:r>
              <w:rPr>
                <w:rFonts w:ascii="Segoe UI" w:hAnsi="Segoe UI"/>
                <w:b/>
                <w:color w:val="FFFFFF"/>
                <w:sz w:val="18"/>
              </w:rPr>
              <w:t>Business Catalyst &amp; Pain Point</w:t>
            </w:r>
          </w:p>
        </w:tc>
        <w:tc>
          <w:tcPr>
            <w:tcW w:type="dxa" w:w="3312"/>
            <w:shd w:fill="1E3A8A"/>
            <w:tcMar>
              <w:top w:w="120" w:type="dxa"/>
              <w:bottom w:w="120" w:type="dxa"/>
              <w:left w:w="140" w:type="dxa"/>
              <w:right w:w="140" w:type="dxa"/>
            </w:tcMar>
          </w:tcPr>
          <w:p>
            <w:pPr>
              <w:spacing w:before="0" w:after="0"/>
              <w:jc w:val="left"/>
            </w:pPr>
            <w:r>
              <w:rPr>
                <w:rFonts w:ascii="Segoe UI" w:hAnsi="Segoe UI"/>
                <w:b/>
                <w:color w:val="FFFFFF"/>
                <w:sz w:val="18"/>
              </w:rPr>
              <w:t>Current Client Impact &amp; Urgency Level</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0F172A"/>
                <w:sz w:val="17"/>
              </w:rPr>
              <w:t>BT-01</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Catastrophic Customer Outage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Recent Sev-1 / Sev-2 outage with MTTR exceeding 2 hours due to broken cross-service tracing.</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0F172A"/>
                <w:sz w:val="17"/>
              </w:rPr>
              <w:t>BT-02</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Unplanned Telemetry Cost Spike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Datadog, Splunk, or cloud logging spend increased by &gt;25% in 6 months due to unmanaged debug logs.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0F172A"/>
                <w:sz w:val="17"/>
              </w:rPr>
              <w:t>BT-03</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Severe On-Call Paging Fatigue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Engineers receiving &gt;100 alerts/week with &gt;60% false alarms, driving high staff turnover.</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0F172A"/>
                <w:sz w:val="17"/>
              </w:rPr>
              <w:t>BT-04</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Silent Data Pipeline Corruption</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Airflow, dbt, or Kafka delays caused broken BI reports or customer-facing data discrepancies.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0F172A"/>
                <w:sz w:val="17"/>
              </w:rPr>
              <w:t>BT-05</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Tool Sprawl &amp; Redundant Licenses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Multiple monitoring tools (e.g. Datadog + Splunk + CloudWatch) create operational confusion.</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0F172A"/>
                <w:sz w:val="17"/>
              </w:rPr>
              <w:t>BT-06</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Regulatory or SOX Audit Failure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Inability to produce immutable 90-day incident logs or proof of zero-PII data redaction.</w:t>
            </w:r>
          </w:p>
        </w:tc>
      </w:tr>
    </w:tbl>
    <w:p>
      <w:pPr>
        <w:spacing w:after="60"/>
      </w:pPr>
    </w:p>
    <w:p>
      <w:pPr>
        <w:keepNext/>
        <w:spacing w:before="280" w:after="80"/>
      </w:pPr>
      <w:r>
        <w:rPr>
          <w:rFonts w:ascii="Segoe UI" w:hAnsi="Segoe UI"/>
          <w:b/>
          <w:color w:val="1E3A8A"/>
          <w:sz w:val="25"/>
        </w:rPr>
        <w:t>Part 0.1: Multi-Cloud &amp; Hybrid Estate Scope Profile</w:t>
      </w:r>
    </w:p>
    <w:p>
      <w:pPr>
        <w:spacing w:before="0" w:after="60" w:line="276" w:lineRule="auto"/>
      </w:pPr>
      <w:r>
        <w:rPr>
          <w:rFonts w:ascii="Segoe UI" w:hAnsi="Segoe UI"/>
          <w:color w:val="0F172A"/>
          <w:sz w:val="19"/>
        </w:rPr>
        <w:t>Document your enterprise hosting model, runtimes, and critical operational boundaries: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40" w:type="dxa"/>
              <w:right w:w="140" w:type="dxa"/>
            </w:tcMar>
          </w:tcPr>
          <w:p>
            <w:pPr>
              <w:spacing w:before="0" w:after="0"/>
              <w:jc w:val="left"/>
            </w:pPr>
            <w:r>
              <w:rPr>
                <w:rFonts w:ascii="Segoe UI" w:hAnsi="Segoe UI"/>
                <w:b/>
                <w:color w:val="FFFFFF"/>
                <w:sz w:val="18"/>
              </w:rPr>
              <w:t>Scope field</w:t>
            </w:r>
          </w:p>
        </w:tc>
        <w:tc>
          <w:tcPr>
            <w:tcW w:type="dxa" w:w="3312"/>
            <w:shd w:fill="334155"/>
            <w:tcMar>
              <w:top w:w="120" w:type="dxa"/>
              <w:bottom w:w="120" w:type="dxa"/>
              <w:left w:w="140" w:type="dxa"/>
              <w:right w:w="140" w:type="dxa"/>
            </w:tcMar>
          </w:tcPr>
          <w:p>
            <w:pPr>
              <w:spacing w:before="0" w:after="0"/>
              <w:jc w:val="left"/>
            </w:pPr>
            <w:r>
              <w:rPr>
                <w:rFonts w:ascii="Segoe UI" w:hAnsi="Segoe UI"/>
                <w:b/>
                <w:color w:val="FFFFFF"/>
                <w:sz w:val="18"/>
              </w:rPr>
              <w:t>Platform-Neutral Examples</w:t>
            </w:r>
          </w:p>
        </w:tc>
        <w:tc>
          <w:tcPr>
            <w:tcW w:type="dxa" w:w="3312"/>
            <w:shd w:fill="334155"/>
            <w:tcMar>
              <w:top w:w="120" w:type="dxa"/>
              <w:bottom w:w="120" w:type="dxa"/>
              <w:left w:w="140" w:type="dxa"/>
              <w:right w:w="140" w:type="dxa"/>
            </w:tcMar>
          </w:tcPr>
          <w:p>
            <w:pPr>
              <w:spacing w:before="0" w:after="0"/>
              <w:jc w:val="left"/>
            </w:pPr>
            <w:r>
              <w:rPr>
                <w:rFonts w:ascii="Segoe UI" w:hAnsi="Segoe UI"/>
                <w:b/>
                <w:color w:val="FFFFFF"/>
                <w:sz w:val="18"/>
              </w:rPr>
              <w:t>Client Specific Scope &amp; Details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Cloud / hosting model</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AWS, Azure, GCP, on-prem, SaaS, hybrid</w:t>
            </w:r>
          </w:p>
        </w:tc>
        <w:tc>
          <w:tcPr>
            <w:tcW w:type="dxa" w:w="3312"/>
            <w:shd w:fill="FFFFFF"/>
            <w:tcMar>
              <w:top w:w="60" w:type="dxa"/>
              <w:bottom w:w="60" w:type="dxa"/>
              <w:left w:w="80" w:type="dxa"/>
              <w:right w:w="80" w:type="dxa"/>
            </w:tcMar>
          </w:tcPr>
          <w:p>
            <w:pPr>
              <w:spacing w:before="0" w:after="0"/>
            </w:pPr>
            <w:r>
              <w:rPr>
                <w:rFonts w:ascii="Segoe UI" w:hAnsi="Segoe UI"/>
                <w:i/>
                <w:color w:val="64748B"/>
                <w:sz w:val="17"/>
              </w:rPr>
              <w:t>Client hosting platforms in scope</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Environment</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Prod, non-prod, DR, shared services</w:t>
            </w:r>
          </w:p>
        </w:tc>
        <w:tc>
          <w:tcPr>
            <w:tcW w:type="dxa" w:w="3312"/>
            <w:shd w:fill="F8FAFC"/>
            <w:tcMar>
              <w:top w:w="60" w:type="dxa"/>
              <w:bottom w:w="60" w:type="dxa"/>
              <w:left w:w="80" w:type="dxa"/>
              <w:right w:w="80" w:type="dxa"/>
            </w:tcMar>
          </w:tcPr>
          <w:p>
            <w:pPr>
              <w:spacing w:before="0" w:after="0"/>
            </w:pPr>
            <w:r>
              <w:rPr>
                <w:rFonts w:ascii="Segoe UI" w:hAnsi="Segoe UI"/>
                <w:i/>
                <w:color w:val="64748B"/>
                <w:sz w:val="17"/>
              </w:rPr>
              <w:t>Target environments to be assessed</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Platform type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VM, containers, serverless, managed PaaS, data platform</w:t>
            </w:r>
          </w:p>
        </w:tc>
        <w:tc>
          <w:tcPr>
            <w:tcW w:type="dxa" w:w="3312"/>
            <w:shd w:fill="FFFFFF"/>
            <w:tcMar>
              <w:top w:w="60" w:type="dxa"/>
              <w:bottom w:w="60" w:type="dxa"/>
              <w:left w:w="80" w:type="dxa"/>
              <w:right w:w="80" w:type="dxa"/>
            </w:tcMar>
          </w:tcPr>
          <w:p>
            <w:pPr>
              <w:spacing w:before="0" w:after="0"/>
            </w:pPr>
            <w:r>
              <w:rPr>
                <w:rFonts w:ascii="Segoe UI" w:hAnsi="Segoe UI"/>
                <w:i/>
                <w:color w:val="64748B"/>
                <w:sz w:val="17"/>
              </w:rPr>
              <w:t>Core compute and data runtimes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Critical services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Customer-facing apps, APIs, batch services, data pipelines</w:t>
            </w:r>
          </w:p>
        </w:tc>
        <w:tc>
          <w:tcPr>
            <w:tcW w:type="dxa" w:w="3312"/>
            <w:shd w:fill="F8FAFC"/>
            <w:tcMar>
              <w:top w:w="60" w:type="dxa"/>
              <w:bottom w:w="60" w:type="dxa"/>
              <w:left w:w="80" w:type="dxa"/>
              <w:right w:w="80" w:type="dxa"/>
            </w:tcMar>
          </w:tcPr>
          <w:p>
            <w:pPr>
              <w:spacing w:before="0" w:after="0"/>
            </w:pPr>
            <w:r>
              <w:rPr>
                <w:rFonts w:ascii="Segoe UI" w:hAnsi="Segoe UI"/>
                <w:i/>
                <w:color w:val="64748B"/>
                <w:sz w:val="17"/>
              </w:rPr>
              <w:t>List of critical services (Tier-1)</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Critical data flows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ETL/ELT, streaming, reporting, AI/RAG flows</w:t>
            </w:r>
          </w:p>
        </w:tc>
        <w:tc>
          <w:tcPr>
            <w:tcW w:type="dxa" w:w="3312"/>
            <w:shd w:fill="FFFFFF"/>
            <w:tcMar>
              <w:top w:w="60" w:type="dxa"/>
              <w:bottom w:w="60" w:type="dxa"/>
              <w:left w:w="80" w:type="dxa"/>
              <w:right w:w="80" w:type="dxa"/>
            </w:tcMar>
          </w:tcPr>
          <w:p>
            <w:pPr>
              <w:spacing w:before="0" w:after="0"/>
            </w:pPr>
            <w:r>
              <w:rPr>
                <w:rFonts w:ascii="Segoe UI" w:hAnsi="Segoe UI"/>
                <w:i/>
                <w:color w:val="64748B"/>
                <w:sz w:val="17"/>
              </w:rPr>
              <w:t>Key ingestion and consumption paths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Observability tools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Cloud-native, open-source, enterprise APM, ITSM</w:t>
            </w:r>
          </w:p>
        </w:tc>
        <w:tc>
          <w:tcPr>
            <w:tcW w:type="dxa" w:w="3312"/>
            <w:shd w:fill="F8FAFC"/>
            <w:tcMar>
              <w:top w:w="60" w:type="dxa"/>
              <w:bottom w:w="60" w:type="dxa"/>
              <w:left w:w="80" w:type="dxa"/>
              <w:right w:w="80" w:type="dxa"/>
            </w:tcMar>
          </w:tcPr>
          <w:p>
            <w:pPr>
              <w:spacing w:before="0" w:after="0"/>
            </w:pPr>
            <w:r>
              <w:rPr>
                <w:rFonts w:ascii="Segoe UI" w:hAnsi="Segoe UI"/>
                <w:i/>
                <w:color w:val="64748B"/>
                <w:sz w:val="17"/>
              </w:rPr>
              <w:t>All current monitoring software deployed</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Incident tools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ServiceNow, Jira, PagerDuty, Opsgenie, Teams/Slack</w:t>
            </w:r>
          </w:p>
        </w:tc>
        <w:tc>
          <w:tcPr>
            <w:tcW w:type="dxa" w:w="3312"/>
            <w:shd w:fill="FFFFFF"/>
            <w:tcMar>
              <w:top w:w="60" w:type="dxa"/>
              <w:bottom w:w="60" w:type="dxa"/>
              <w:left w:w="80" w:type="dxa"/>
              <w:right w:w="80" w:type="dxa"/>
            </w:tcMar>
          </w:tcPr>
          <w:p>
            <w:pPr>
              <w:spacing w:before="0" w:after="0"/>
            </w:pPr>
            <w:r>
              <w:rPr>
                <w:rFonts w:ascii="Segoe UI" w:hAnsi="Segoe UI"/>
                <w:i/>
                <w:color w:val="64748B"/>
                <w:sz w:val="17"/>
              </w:rPr>
              <w:t>ITSM, on-call paging, and chat tools</w:t>
            </w:r>
          </w:p>
        </w:tc>
      </w:tr>
      <w:tr>
        <w:trPr>
          <w:cantSplit/>
        </w:trPr>
        <w:tc>
          <w:tcPr>
            <w:tcW w:type="dxa" w:w="3312"/>
            <w:shd w:fill="F8FAFC"/>
            <w:tcMar>
              <w:top w:w="60" w:type="dxa"/>
              <w:bottom w:w="60" w:type="dxa"/>
              <w:left w:w="80" w:type="dxa"/>
              <w:right w:w="80" w:type="dxa"/>
            </w:tcMar>
          </w:tcPr>
          <w:p>
            <w:pPr>
              <w:spacing w:before="0" w:after="0"/>
            </w:pPr>
            <w:r>
              <w:rPr>
                <w:rFonts w:ascii="Segoe UI" w:hAnsi="Segoe UI"/>
                <w:b/>
                <w:color w:val="0F172A"/>
                <w:sz w:val="17"/>
              </w:rPr>
              <w:t>Deployment tools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GitHub Actions, Azure DevOps, Jenkins, GitLab, CodePipeline</w:t>
            </w:r>
          </w:p>
        </w:tc>
        <w:tc>
          <w:tcPr>
            <w:tcW w:type="dxa" w:w="3312"/>
            <w:shd w:fill="F8FAFC"/>
            <w:tcMar>
              <w:top w:w="60" w:type="dxa"/>
              <w:bottom w:w="60" w:type="dxa"/>
              <w:left w:w="80" w:type="dxa"/>
              <w:right w:w="80" w:type="dxa"/>
            </w:tcMar>
          </w:tcPr>
          <w:p>
            <w:pPr>
              <w:spacing w:before="0" w:after="0"/>
            </w:pPr>
            <w:r>
              <w:rPr>
                <w:rFonts w:ascii="Segoe UI" w:hAnsi="Segoe UI"/>
                <w:i/>
                <w:color w:val="64748B"/>
                <w:sz w:val="17"/>
              </w:rPr>
              <w:t>CI/CD engines and GitOps tools</w:t>
            </w:r>
          </w:p>
        </w:tc>
      </w:tr>
      <w:tr>
        <w:trPr>
          <w:cantSplit/>
        </w:trPr>
        <w:tc>
          <w:tcPr>
            <w:tcW w:type="dxa" w:w="3312"/>
            <w:shd w:fill="FFFFFF"/>
            <w:tcMar>
              <w:top w:w="60" w:type="dxa"/>
              <w:bottom w:w="60" w:type="dxa"/>
              <w:left w:w="80" w:type="dxa"/>
              <w:right w:w="80" w:type="dxa"/>
            </w:tcMar>
          </w:tcPr>
          <w:p>
            <w:pPr>
              <w:spacing w:before="0" w:after="0"/>
            </w:pPr>
            <w:r>
              <w:rPr>
                <w:rFonts w:ascii="Segoe UI" w:hAnsi="Segoe UI"/>
                <w:b/>
                <w:color w:val="0F172A"/>
                <w:sz w:val="17"/>
              </w:rPr>
              <w:t>Business processes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Finance close, claims, payments, order fulfillment, customer support</w:t>
            </w:r>
          </w:p>
        </w:tc>
        <w:tc>
          <w:tcPr>
            <w:tcW w:type="dxa" w:w="3312"/>
            <w:shd w:fill="FFFFFF"/>
            <w:tcMar>
              <w:top w:w="60" w:type="dxa"/>
              <w:bottom w:w="60" w:type="dxa"/>
              <w:left w:w="80" w:type="dxa"/>
              <w:right w:w="80" w:type="dxa"/>
            </w:tcMar>
          </w:tcPr>
          <w:p>
            <w:pPr>
              <w:spacing w:before="0" w:after="0"/>
            </w:pPr>
            <w:r>
              <w:rPr>
                <w:rFonts w:ascii="Segoe UI" w:hAnsi="Segoe UI"/>
                <w:i/>
                <w:color w:val="64748B"/>
                <w:sz w:val="17"/>
              </w:rPr>
              <w:t>Primary business revenue streams</w:t>
            </w:r>
          </w:p>
        </w:tc>
      </w:tr>
    </w:tbl>
    <w:p>
      <w:pPr>
        <w:spacing w:after="60"/>
      </w:pPr>
    </w:p>
    <w:p>
      <w:pPr>
        <w:keepNext/>
        <w:spacing w:before="280" w:after="80"/>
      </w:pPr>
      <w:r>
        <w:rPr>
          <w:rFonts w:ascii="Segoe UI" w:hAnsi="Segoe UI"/>
          <w:b/>
          <w:color w:val="1E3A8A"/>
          <w:sz w:val="25"/>
        </w:rPr>
        <w:t>Part 1: Platform-Neutral Diagnostic Questionnaire (Dimensions O0–O10)</w:t>
      </w:r>
    </w:p>
    <w:p>
      <w:pPr>
        <w:keepNext/>
        <w:spacing w:before="200" w:after="60"/>
      </w:pPr>
      <w:r>
        <w:rPr>
          <w:rFonts w:ascii="Segoe UI" w:hAnsi="Segoe UI"/>
          <w:b/>
          <w:color w:val="334155"/>
          <w:sz w:val="21"/>
        </w:rPr>
        <w:t>O0: Estate &amp; Critical Service Profiling</w:t>
      </w:r>
    </w:p>
    <w:p>
      <w:pPr>
        <w:pStyle w:val="ListBullet"/>
        <w:spacing w:before="0" w:after="40" w:line="276" w:lineRule="auto"/>
      </w:pPr>
      <w:r>
        <w:rPr>
          <w:rFonts w:ascii="Segoe UI" w:hAnsi="Segoe UI"/>
          <w:color w:val="0F172A"/>
          <w:sz w:val="18"/>
        </w:rPr>
        <w:t>Are all production services and data pipelines cataloged with clear squad ownership in a CMDB or service registry? (EV01)</w:t>
      </w:r>
    </w:p>
    <w:p>
      <w:pPr>
        <w:pStyle w:val="ListBullet"/>
        <w:spacing w:before="0" w:after="40" w:line="276" w:lineRule="auto"/>
      </w:pPr>
      <w:r>
        <w:rPr>
          <w:rFonts w:ascii="Segoe UI" w:hAnsi="Segoe UI"/>
          <w:color w:val="0F172A"/>
          <w:sz w:val="18"/>
        </w:rPr>
        <w:t>Are services explicitly categorized into Tier-1 (Revenue-Critical), Tier-2 (Internal Ops), and Tier-3 (Non-Critical)? (EV01)</w:t>
      </w:r>
    </w:p>
    <w:p>
      <w:pPr>
        <w:pStyle w:val="ListBullet"/>
        <w:spacing w:before="0" w:after="40" w:line="276" w:lineRule="auto"/>
      </w:pPr>
      <w:r>
        <w:rPr>
          <w:rFonts w:ascii="Segoe UI" w:hAnsi="Segoe UI"/>
          <w:color w:val="0F172A"/>
          <w:sz w:val="18"/>
        </w:rPr>
        <w:t>Are multi-cloud subscriptions (AWS, Azure, GCP) and on-premises environments inventoried with defined environment tags? (EV01)</w:t>
      </w:r>
    </w:p>
    <w:p>
      <w:pPr>
        <w:keepNext/>
        <w:spacing w:before="200" w:after="60"/>
      </w:pPr>
      <w:r>
        <w:rPr>
          <w:rFonts w:ascii="Segoe UI" w:hAnsi="Segoe UI"/>
          <w:b/>
          <w:color w:val="334155"/>
          <w:sz w:val="21"/>
        </w:rPr>
        <w:t>O1: Telemetry Collection &amp; Instrumentation Coverage</w:t>
      </w:r>
    </w:p>
    <w:p>
      <w:pPr>
        <w:pStyle w:val="ListBullet"/>
        <w:spacing w:before="0" w:after="40" w:line="276" w:lineRule="auto"/>
      </w:pPr>
      <w:r>
        <w:rPr>
          <w:rFonts w:ascii="Segoe UI" w:hAnsi="Segoe UI"/>
          <w:color w:val="0F172A"/>
          <w:sz w:val="18"/>
        </w:rPr>
        <w:t>What percentage of Tier-1 services emit all Four Golden Signals (Latency, Error Rate, Traffic, Saturation)? (EV03)</w:t>
      </w:r>
    </w:p>
    <w:p>
      <w:pPr>
        <w:pStyle w:val="ListBullet"/>
        <w:spacing w:before="0" w:after="40" w:line="276" w:lineRule="auto"/>
      </w:pPr>
      <w:r>
        <w:rPr>
          <w:rFonts w:ascii="Segoe UI" w:hAnsi="Segoe UI"/>
          <w:color w:val="0F172A"/>
          <w:sz w:val="18"/>
        </w:rPr>
        <w:t>Is OpenTelemetry adopted as the standardized collection SDK across runtime containers and serverless functions? (EV02)</w:t>
      </w:r>
    </w:p>
    <w:p>
      <w:pPr>
        <w:pStyle w:val="ListBullet"/>
        <w:spacing w:before="0" w:after="40" w:line="276" w:lineRule="auto"/>
      </w:pPr>
      <w:r>
        <w:rPr>
          <w:rFonts w:ascii="Segoe UI" w:hAnsi="Segoe UI"/>
          <w:color w:val="0F172A"/>
          <w:sz w:val="18"/>
        </w:rPr>
        <w:t>Are synthetic 24/7 endpoint probes running continuously for all critical user checkout and authentication journeys? (EV03)</w:t>
      </w:r>
    </w:p>
    <w:p>
      <w:pPr>
        <w:keepNext/>
        <w:spacing w:before="200" w:after="60"/>
      </w:pPr>
      <w:r>
        <w:rPr>
          <w:rFonts w:ascii="Segoe UI" w:hAnsi="Segoe UI"/>
          <w:b/>
          <w:color w:val="334155"/>
          <w:sz w:val="21"/>
        </w:rPr>
        <w:t>O2: Distributed Tracing &amp; Dependency Visibility</w:t>
      </w:r>
    </w:p>
    <w:p>
      <w:pPr>
        <w:pStyle w:val="ListBullet"/>
        <w:spacing w:before="0" w:after="40" w:line="276" w:lineRule="auto"/>
      </w:pPr>
      <w:r>
        <w:rPr>
          <w:rFonts w:ascii="Segoe UI" w:hAnsi="Segoe UI"/>
          <w:color w:val="0F172A"/>
          <w:sz w:val="18"/>
        </w:rPr>
        <w:t>Do distributed traces propagate seamlessly across asynchronous Kafka/RabbitMQ message queues and third-party APIs? (EV03)</w:t>
      </w:r>
    </w:p>
    <w:p>
      <w:pPr>
        <w:pStyle w:val="ListBullet"/>
        <w:spacing w:before="0" w:after="40" w:line="276" w:lineRule="auto"/>
      </w:pPr>
      <w:r>
        <w:rPr>
          <w:rFonts w:ascii="Segoe UI" w:hAnsi="Segoe UI"/>
          <w:color w:val="0F172A"/>
          <w:sz w:val="18"/>
        </w:rPr>
        <w:t>Can on-call engineers automatically view dynamic dependency topology maps showing live upstream/downstream blast radius? (EV02)</w:t>
      </w:r>
    </w:p>
    <w:p>
      <w:pPr>
        <w:pStyle w:val="ListBullet"/>
        <w:spacing w:before="0" w:after="40" w:line="276" w:lineRule="auto"/>
      </w:pPr>
      <w:r>
        <w:rPr>
          <w:rFonts w:ascii="Segoe UI" w:hAnsi="Segoe UI"/>
          <w:color w:val="0F172A"/>
          <w:sz w:val="18"/>
        </w:rPr>
        <w:t>Are database query executions, cache hits/misses, and external HTTP calls correlated under unified W3C Trace IDs? (EV03)</w:t>
      </w:r>
    </w:p>
    <w:p>
      <w:pPr>
        <w:keepNext/>
        <w:spacing w:before="200" w:after="60"/>
      </w:pPr>
      <w:r>
        <w:rPr>
          <w:rFonts w:ascii="Segoe UI" w:hAnsi="Segoe UI"/>
          <w:b/>
          <w:color w:val="334155"/>
          <w:sz w:val="21"/>
        </w:rPr>
        <w:t>O3: Alert Quality, Routing &amp; Noise Management</w:t>
      </w:r>
    </w:p>
    <w:p>
      <w:pPr>
        <w:pStyle w:val="ListBullet"/>
        <w:spacing w:before="0" w:after="40" w:line="276" w:lineRule="auto"/>
      </w:pPr>
      <w:r>
        <w:rPr>
          <w:rFonts w:ascii="Segoe UI" w:hAnsi="Segoe UI"/>
          <w:color w:val="0F172A"/>
          <w:sz w:val="18"/>
        </w:rPr>
        <w:t>Are alerts defined by customer-facing symptoms (e.g. latency/errors) rather than static infrastructure thresholds (e.g. CPU &gt; 80%)? (EV04)</w:t>
      </w:r>
    </w:p>
    <w:p>
      <w:pPr>
        <w:pStyle w:val="ListBullet"/>
        <w:spacing w:before="0" w:after="40" w:line="276" w:lineRule="auto"/>
      </w:pPr>
      <w:r>
        <w:rPr>
          <w:rFonts w:ascii="Segoe UI" w:hAnsi="Segoe UI"/>
          <w:color w:val="0F172A"/>
          <w:sz w:val="18"/>
        </w:rPr>
        <w:t>Are 100% of P1/P2 alerts mapped to actionable, verified runbook URLs with single-click triage steps? (EV09)</w:t>
      </w:r>
    </w:p>
    <w:p>
      <w:pPr>
        <w:pStyle w:val="ListBullet"/>
        <w:spacing w:before="0" w:after="40" w:line="276" w:lineRule="auto"/>
      </w:pPr>
      <w:r>
        <w:rPr>
          <w:rFonts w:ascii="Segoe UI" w:hAnsi="Segoe UI"/>
          <w:color w:val="0F172A"/>
          <w:sz w:val="18"/>
        </w:rPr>
        <w:t>Does an automated event grouping engine suppress cascading alert storms when network or database dependencies fail? (EV04)</w:t>
      </w:r>
    </w:p>
    <w:p>
      <w:pPr>
        <w:keepNext/>
        <w:spacing w:before="200" w:after="60"/>
      </w:pPr>
      <w:r>
        <w:rPr>
          <w:rFonts w:ascii="Segoe UI" w:hAnsi="Segoe UI"/>
          <w:b/>
          <w:color w:val="334155"/>
          <w:sz w:val="21"/>
        </w:rPr>
        <w:t>O4: SLI, SLO &amp; Error Budget Governance</w:t>
      </w:r>
    </w:p>
    <w:p>
      <w:pPr>
        <w:pStyle w:val="ListBullet"/>
        <w:spacing w:before="0" w:after="40" w:line="276" w:lineRule="auto"/>
      </w:pPr>
      <w:r>
        <w:rPr>
          <w:rFonts w:ascii="Segoe UI" w:hAnsi="Segoe UI"/>
          <w:color w:val="0F172A"/>
          <w:sz w:val="18"/>
        </w:rPr>
        <w:t>Are formal Service Level Objectives (SLOs) defined for all Tier-1 customer-facing applications and data pipelines? (EV05)</w:t>
      </w:r>
    </w:p>
    <w:p>
      <w:pPr>
        <w:pStyle w:val="ListBullet"/>
        <w:spacing w:before="0" w:after="40" w:line="276" w:lineRule="auto"/>
      </w:pPr>
      <w:r>
        <w:rPr>
          <w:rFonts w:ascii="Segoe UI" w:hAnsi="Segoe UI"/>
          <w:color w:val="0F172A"/>
          <w:sz w:val="18"/>
        </w:rPr>
        <w:t>Do alerting rules use Google SRE multi-window burn-rate algorithms (e.g. 14.4x 1-hour and 6x 6-hour) instead of static alerts? (EV05)</w:t>
      </w:r>
    </w:p>
    <w:p>
      <w:pPr>
        <w:pStyle w:val="ListBullet"/>
        <w:spacing w:before="0" w:after="40" w:line="276" w:lineRule="auto"/>
      </w:pPr>
      <w:r>
        <w:rPr>
          <w:rFonts w:ascii="Segoe UI" w:hAnsi="Segoe UI"/>
          <w:color w:val="0F172A"/>
          <w:sz w:val="18"/>
        </w:rPr>
        <w:t>Is there an executive-backed error budget policy that freezes non-critical feature releases when reliability budgets are exhausted? (EV05)</w:t>
      </w:r>
    </w:p>
    <w:p>
      <w:pPr>
        <w:keepNext/>
        <w:spacing w:before="200" w:after="60"/>
      </w:pPr>
      <w:r>
        <w:rPr>
          <w:rFonts w:ascii="Segoe UI" w:hAnsi="Segoe UI"/>
          <w:b/>
          <w:color w:val="334155"/>
          <w:sz w:val="21"/>
        </w:rPr>
        <w:t>O5: Dashboards, Runbooks &amp; Operational Readiness</w:t>
      </w:r>
    </w:p>
    <w:p>
      <w:pPr>
        <w:pStyle w:val="ListBullet"/>
        <w:spacing w:before="0" w:after="40" w:line="276" w:lineRule="auto"/>
      </w:pPr>
      <w:r>
        <w:rPr>
          <w:rFonts w:ascii="Segoe UI" w:hAnsi="Segoe UI"/>
          <w:color w:val="0F172A"/>
          <w:sz w:val="18"/>
        </w:rPr>
        <w:t>Are operational dashboards standardized using unified Golden Signals templates rather than ad-hoc custom widgets? (EV08)</w:t>
      </w:r>
    </w:p>
    <w:p>
      <w:pPr>
        <w:pStyle w:val="ListBullet"/>
        <w:spacing w:before="0" w:after="40" w:line="276" w:lineRule="auto"/>
      </w:pPr>
      <w:r>
        <w:rPr>
          <w:rFonts w:ascii="Segoe UI" w:hAnsi="Segoe UI"/>
          <w:color w:val="0F172A"/>
          <w:sz w:val="18"/>
        </w:rPr>
        <w:t>Are dashboards audited and archived regularly to eliminate stale, unmaintained monitoring screens? (EV08)</w:t>
      </w:r>
    </w:p>
    <w:p>
      <w:pPr>
        <w:pStyle w:val="ListBullet"/>
        <w:spacing w:before="0" w:after="40" w:line="276" w:lineRule="auto"/>
      </w:pPr>
      <w:r>
        <w:rPr>
          <w:rFonts w:ascii="Segoe UI" w:hAnsi="Segoe UI"/>
          <w:color w:val="0F172A"/>
          <w:sz w:val="18"/>
        </w:rPr>
        <w:t>Are runbooks stored as versioned code alongside application repositories and tested during chaos drills? (EV09)</w:t>
      </w:r>
    </w:p>
    <w:p>
      <w:pPr>
        <w:keepNext/>
        <w:spacing w:before="200" w:after="60"/>
      </w:pPr>
      <w:r>
        <w:rPr>
          <w:rFonts w:ascii="Segoe UI" w:hAnsi="Segoe UI"/>
          <w:b/>
          <w:color w:val="334155"/>
          <w:sz w:val="21"/>
        </w:rPr>
        <w:t>O6: Incident Response &amp; Continuous Improvement</w:t>
      </w:r>
    </w:p>
    <w:p>
      <w:pPr>
        <w:pStyle w:val="ListBullet"/>
        <w:spacing w:before="0" w:after="40" w:line="276" w:lineRule="auto"/>
      </w:pPr>
      <w:r>
        <w:rPr>
          <w:rFonts w:ascii="Segoe UI" w:hAnsi="Segoe UI"/>
          <w:color w:val="0F172A"/>
          <w:sz w:val="18"/>
        </w:rPr>
        <w:t>Are incident timelines and war-room chat logs automatically compiled into immutable post-incident records? (EV06)</w:t>
      </w:r>
    </w:p>
    <w:p>
      <w:pPr>
        <w:pStyle w:val="ListBullet"/>
        <w:spacing w:before="0" w:after="40" w:line="276" w:lineRule="auto"/>
      </w:pPr>
      <w:r>
        <w:rPr>
          <w:rFonts w:ascii="Segoe UI" w:hAnsi="Segoe UI"/>
          <w:color w:val="0F172A"/>
          <w:sz w:val="18"/>
        </w:rPr>
        <w:t>Are blameless Post-Incident Reviews (PIRs) conducted within 72 hours of any Sev-1 failure, resulting in tracked Jira action items? (EV07)</w:t>
      </w:r>
    </w:p>
    <w:p>
      <w:pPr>
        <w:pStyle w:val="ListBullet"/>
        <w:spacing w:before="0" w:after="40" w:line="276" w:lineRule="auto"/>
      </w:pPr>
      <w:r>
        <w:rPr>
          <w:rFonts w:ascii="Segoe UI" w:hAnsi="Segoe UI"/>
          <w:color w:val="0F172A"/>
          <w:sz w:val="18"/>
        </w:rPr>
        <w:t>Is there an audited metric tracking repeat incident rates across the same microservice or database component? (EV07)</w:t>
      </w:r>
    </w:p>
    <w:p>
      <w:pPr>
        <w:keepNext/>
        <w:spacing w:before="200" w:after="60"/>
      </w:pPr>
      <w:r>
        <w:rPr>
          <w:rFonts w:ascii="Segoe UI" w:hAnsi="Segoe UI"/>
          <w:b/>
          <w:color w:val="334155"/>
          <w:sz w:val="21"/>
        </w:rPr>
        <w:t>O7: Telemetry Cost, Retention &amp; FinOps Governance</w:t>
      </w:r>
    </w:p>
    <w:p>
      <w:pPr>
        <w:pStyle w:val="ListBullet"/>
        <w:spacing w:before="0" w:after="40" w:line="276" w:lineRule="auto"/>
      </w:pPr>
      <w:r>
        <w:rPr>
          <w:rFonts w:ascii="Segoe UI" w:hAnsi="Segoe UI"/>
          <w:color w:val="0F172A"/>
          <w:sz w:val="18"/>
        </w:rPr>
        <w:t>Is telemetry ingestion spend (logs, metrics, traces) attributed directly to squads via automated FinOps showback reports? (EV10)</w:t>
      </w:r>
    </w:p>
    <w:p>
      <w:pPr>
        <w:pStyle w:val="ListBullet"/>
        <w:spacing w:before="0" w:after="40" w:line="276" w:lineRule="auto"/>
      </w:pPr>
      <w:r>
        <w:rPr>
          <w:rFonts w:ascii="Segoe UI" w:hAnsi="Segoe UI"/>
          <w:color w:val="0F172A"/>
          <w:sz w:val="18"/>
        </w:rPr>
        <w:t>Are edge log filters (e.g. Vector) deployed to strip non-production DEBUG logs before cloud ingestion? (EV10)</w:t>
      </w:r>
    </w:p>
    <w:p>
      <w:pPr>
        <w:pStyle w:val="ListBullet"/>
        <w:spacing w:before="0" w:after="40" w:line="276" w:lineRule="auto"/>
      </w:pPr>
      <w:r>
        <w:rPr>
          <w:rFonts w:ascii="Segoe UI" w:hAnsi="Segoe UI"/>
          <w:color w:val="0F172A"/>
          <w:sz w:val="18"/>
        </w:rPr>
        <w:t>Are log retention lifecycles tiered (Hot 30d, Warm 90d, Cold/Glacier 365d) to prevent storage cost blowouts? (EV10)</w:t>
      </w:r>
    </w:p>
    <w:p>
      <w:pPr>
        <w:keepNext/>
        <w:spacing w:before="200" w:after="60"/>
      </w:pPr>
      <w:r>
        <w:rPr>
          <w:rFonts w:ascii="Segoe UI" w:hAnsi="Segoe UI"/>
          <w:b/>
          <w:color w:val="334155"/>
          <w:sz w:val="21"/>
        </w:rPr>
        <w:t>O8: Data Product &amp; Pipeline Observability (Mandatory)</w:t>
      </w:r>
    </w:p>
    <w:p>
      <w:pPr>
        <w:pStyle w:val="ListBullet"/>
        <w:spacing w:before="0" w:after="40" w:line="276" w:lineRule="auto"/>
      </w:pPr>
      <w:r>
        <w:rPr>
          <w:rFonts w:ascii="Segoe UI" w:hAnsi="Segoe UI"/>
          <w:color w:val="0F172A"/>
          <w:sz w:val="18"/>
        </w:rPr>
        <w:t>What percentage of critical ETL/ELT pipelines have automated Freshness, Volume, and Schema Drift monitoring? (EV11)</w:t>
      </w:r>
    </w:p>
    <w:p>
      <w:pPr>
        <w:pStyle w:val="ListBullet"/>
        <w:spacing w:before="0" w:after="40" w:line="276" w:lineRule="auto"/>
      </w:pPr>
      <w:r>
        <w:rPr>
          <w:rFonts w:ascii="Segoe UI" w:hAnsi="Segoe UI"/>
          <w:color w:val="0F172A"/>
          <w:sz w:val="18"/>
        </w:rPr>
        <w:t>Are data pipeline failures linked directly into the central PagerDuty/ITSM incident routing system? (EV11)</w:t>
      </w:r>
    </w:p>
    <w:p>
      <w:pPr>
        <w:pStyle w:val="ListBullet"/>
        <w:spacing w:before="0" w:after="40" w:line="276" w:lineRule="auto"/>
      </w:pPr>
      <w:r>
        <w:rPr>
          <w:rFonts w:ascii="Segoe UI" w:hAnsi="Segoe UI"/>
          <w:color w:val="0F172A"/>
          <w:sz w:val="18"/>
        </w:rPr>
        <w:t>Can data discrepancies in executive BI dashboards be traced back to ingestion pipelines in under 15 minutes? (EV11)</w:t>
      </w:r>
    </w:p>
    <w:p>
      <w:pPr>
        <w:keepNext/>
        <w:spacing w:before="200" w:after="60"/>
      </w:pPr>
      <w:r>
        <w:rPr>
          <w:rFonts w:ascii="Segoe UI" w:hAnsi="Segoe UI"/>
          <w:b/>
          <w:color w:val="334155"/>
          <w:sz w:val="21"/>
        </w:rPr>
        <w:t>O9: Tool Architecture &amp; Rationalization (Mandatory)</w:t>
      </w:r>
    </w:p>
    <w:p>
      <w:pPr>
        <w:pStyle w:val="ListBullet"/>
        <w:spacing w:before="0" w:after="40" w:line="276" w:lineRule="auto"/>
      </w:pPr>
      <w:r>
        <w:rPr>
          <w:rFonts w:ascii="Segoe UI" w:hAnsi="Segoe UI"/>
          <w:color w:val="0F172A"/>
          <w:sz w:val="18"/>
        </w:rPr>
        <w:t>Are multiple monitoring tools (e.g. Datadog, Splunk, CloudWatch, Grafana) mapped to identify overlapping license spend? (EV10)</w:t>
      </w:r>
    </w:p>
    <w:p>
      <w:pPr>
        <w:pStyle w:val="ListBullet"/>
        <w:spacing w:before="0" w:after="40" w:line="276" w:lineRule="auto"/>
      </w:pPr>
      <w:r>
        <w:rPr>
          <w:rFonts w:ascii="Segoe UI" w:hAnsi="Segoe UI"/>
          <w:color w:val="0F172A"/>
          <w:sz w:val="18"/>
        </w:rPr>
        <w:t>Is there a clear system of record designated for incidents, SLO reporting, and executive audit compliance? (EV02)</w:t>
      </w:r>
    </w:p>
    <w:p>
      <w:pPr>
        <w:pStyle w:val="ListBullet"/>
        <w:spacing w:before="0" w:after="40" w:line="276" w:lineRule="auto"/>
      </w:pPr>
      <w:r>
        <w:rPr>
          <w:rFonts w:ascii="Segoe UI" w:hAnsi="Segoe UI"/>
          <w:color w:val="0F172A"/>
          <w:sz w:val="18"/>
        </w:rPr>
        <w:t>Is there a phased plan to consolidate duplicate logging streams onto open-source or optimized ingestion pipelines? (EV10)</w:t>
      </w:r>
    </w:p>
    <w:p>
      <w:pPr>
        <w:keepNext/>
        <w:spacing w:before="200" w:after="60"/>
      </w:pPr>
      <w:r>
        <w:rPr>
          <w:rFonts w:ascii="Segoe UI" w:hAnsi="Segoe UI"/>
          <w:b/>
          <w:color w:val="334155"/>
          <w:sz w:val="21"/>
        </w:rPr>
        <w:t>O10: AI / GenAI / Agent Observability (Optional Extension — Applicable Only Where AI/GenAI/RAG/Agents In Scope)</w:t>
      </w:r>
    </w:p>
    <w:p>
      <w:pPr>
        <w:pStyle w:val="ListBullet"/>
        <w:spacing w:before="0" w:after="40" w:line="276" w:lineRule="auto"/>
      </w:pPr>
      <w:r>
        <w:rPr>
          <w:rFonts w:ascii="Segoe UI" w:hAnsi="Segoe UI"/>
          <w:color w:val="0F172A"/>
          <w:sz w:val="18"/>
        </w:rPr>
        <w:t>1. Model &amp; API Latency: Are model inference latency, Time-To-First-Token (TTFT), and API endpoint response times monitored with defined p95/p99 SLO thresholds? (EV12)</w:t>
      </w:r>
    </w:p>
    <w:p>
      <w:pPr>
        <w:pStyle w:val="ListBullet"/>
        <w:spacing w:before="0" w:after="40" w:line="276" w:lineRule="auto"/>
      </w:pPr>
      <w:r>
        <w:rPr>
          <w:rFonts w:ascii="Segoe UI" w:hAnsi="Segoe UI"/>
          <w:color w:val="0F172A"/>
          <w:sz w:val="18"/>
        </w:rPr>
        <w:t>2. Token &amp; Inference Cost (FinOps): Are prompt and completion token volumes tracked per service, model tier, and user group to govern inference spend and detect budget spikes? (EV12)</w:t>
      </w:r>
    </w:p>
    <w:p>
      <w:pPr>
        <w:pStyle w:val="ListBullet"/>
        <w:spacing w:before="0" w:after="40" w:line="276" w:lineRule="auto"/>
      </w:pPr>
      <w:r>
        <w:rPr>
          <w:rFonts w:ascii="Segoe UI" w:hAnsi="Segoe UI"/>
          <w:color w:val="0F172A"/>
          <w:sz w:val="18"/>
        </w:rPr>
        <w:t>3. Prompt-Flow Tracing: Do distributed traces capture prompt-flow execution end-to-end across template hydration, model invocation, and post-processing filters? (EV12)</w:t>
      </w:r>
    </w:p>
    <w:p>
      <w:pPr>
        <w:pStyle w:val="ListBullet"/>
        <w:spacing w:before="0" w:after="40" w:line="276" w:lineRule="auto"/>
      </w:pPr>
      <w:r>
        <w:rPr>
          <w:rFonts w:ascii="Segoe UI" w:hAnsi="Segoe UI"/>
          <w:color w:val="0F172A"/>
          <w:sz w:val="18"/>
        </w:rPr>
        <w:t>4. RAG Retrieval Quality: Are retrieval context precision, recall, chunk relevance, and vector similarity scores evaluated continuously against ground-truth benchmarks? (EV12)</w:t>
      </w:r>
    </w:p>
    <w:p>
      <w:pPr>
        <w:pStyle w:val="ListBullet"/>
        <w:spacing w:before="0" w:after="40" w:line="276" w:lineRule="auto"/>
      </w:pPr>
      <w:r>
        <w:rPr>
          <w:rFonts w:ascii="Segoe UI" w:hAnsi="Segoe UI"/>
          <w:color w:val="0F172A"/>
          <w:sz w:val="18"/>
        </w:rPr>
        <w:t>5. Embedding &amp; Vector Store Health: Are vector database query latencies, index memory usage, embedding model version drift, and vector store uptime monitored? (EV12)</w:t>
      </w:r>
    </w:p>
    <w:p>
      <w:pPr>
        <w:pStyle w:val="ListBullet"/>
        <w:spacing w:before="0" w:after="40" w:line="276" w:lineRule="auto"/>
      </w:pPr>
      <w:r>
        <w:rPr>
          <w:rFonts w:ascii="Segoe UI" w:hAnsi="Segoe UI"/>
          <w:color w:val="0F172A"/>
          <w:sz w:val="18"/>
        </w:rPr>
        <w:t>6. Hallucination &amp; Safety Monitoring: Are automated guardrails or evaluation models actively scoring hallucination rates, factual grounding, toxicity, and prompt injection attempts? (EV12)</w:t>
      </w:r>
    </w:p>
    <w:p>
      <w:pPr>
        <w:pStyle w:val="ListBullet"/>
        <w:spacing w:before="0" w:after="40" w:line="276" w:lineRule="auto"/>
      </w:pPr>
      <w:r>
        <w:rPr>
          <w:rFonts w:ascii="Segoe UI" w:hAnsi="Segoe UI"/>
          <w:color w:val="0F172A"/>
          <w:sz w:val="18"/>
        </w:rPr>
        <w:t>7. Guardrail Violations: Are policy violations, PII/secret redaction triggers, and automated output filtering events alerted and logged for compliance? (EV12)</w:t>
      </w:r>
    </w:p>
    <w:p>
      <w:pPr>
        <w:pStyle w:val="ListBullet"/>
        <w:spacing w:before="0" w:after="40" w:line="276" w:lineRule="auto"/>
      </w:pPr>
      <w:r>
        <w:rPr>
          <w:rFonts w:ascii="Segoe UI" w:hAnsi="Segoe UI"/>
          <w:color w:val="0F172A"/>
          <w:sz w:val="18"/>
        </w:rPr>
        <w:t>8. Agent Tool-Call Traces: Are autonomous agent tool invocations, API parameters, multi-step reasoning loops, and execution retries traced end-to-end? (EV12)</w:t>
      </w:r>
    </w:p>
    <w:p>
      <w:pPr>
        <w:pStyle w:val="ListBullet"/>
        <w:spacing w:before="0" w:after="40" w:line="276" w:lineRule="auto"/>
      </w:pPr>
      <w:r>
        <w:rPr>
          <w:rFonts w:ascii="Segoe UI" w:hAnsi="Segoe UI"/>
          <w:color w:val="0F172A"/>
          <w:sz w:val="18"/>
        </w:rPr>
        <w:t>9. Human Approval Gates: Are human-in-the-loop (HITL) review queues, approval latency, and manual override decisions tracked in operational dashboards? (EV12)</w:t>
      </w:r>
    </w:p>
    <w:p>
      <w:pPr>
        <w:pStyle w:val="ListBullet"/>
        <w:spacing w:before="0" w:after="40" w:line="276" w:lineRule="auto"/>
      </w:pPr>
      <w:r>
        <w:rPr>
          <w:rFonts w:ascii="Segoe UI" w:hAnsi="Segoe UI"/>
          <w:color w:val="0F172A"/>
          <w:sz w:val="18"/>
        </w:rPr>
        <w:t>10. AI Incident Workflow: Is there a defined incident response workflow and severity classification specifically for model degradation, safety breaches, and retrieval failures? (EV12)</w:t>
      </w:r>
    </w:p>
    <w:p>
      <w:pPr>
        <w:pStyle w:val="ListBullet"/>
        <w:spacing w:before="0" w:after="40" w:line="276" w:lineRule="auto"/>
      </w:pPr>
      <w:r>
        <w:rPr>
          <w:rFonts w:ascii="Segoe UI" w:hAnsi="Segoe UI"/>
          <w:color w:val="0F172A"/>
          <w:sz w:val="18"/>
        </w:rPr>
        <w:t>11. Audit Trail for AI-Generated Actions: Is there an immutable, tamper-proof audit trail capturing user prompts, model versions, agent tool calls, and automated actions taken on behalf of users? (EV12)</w:t>
      </w:r>
    </w:p>
    <w:p>
      <w:pPr>
        <w:keepNext/>
        <w:spacing w:before="200" w:after="60"/>
      </w:pPr>
      <w:r>
        <w:rPr>
          <w:rFonts w:ascii="Segoe UI" w:hAnsi="Segoe UI"/>
          <w:b/>
          <w:color w:val="334155"/>
          <w:sz w:val="21"/>
        </w:rPr>
        <w:t>Kubernetes &amp; Container Observability Diagnostic (Multi-Cloud / K8s Estates)</w:t>
      </w:r>
    </w:p>
    <w:p>
      <w:pPr>
        <w:pStyle w:val="ListBullet"/>
        <w:spacing w:before="0" w:after="40" w:line="276" w:lineRule="auto"/>
      </w:pPr>
      <w:r>
        <w:rPr>
          <w:rFonts w:ascii="Segoe UI" w:hAnsi="Segoe UI"/>
          <w:color w:val="0F172A"/>
          <w:sz w:val="18"/>
        </w:rPr>
        <w:t>1. Cluster Health: Are Kubernetes control plane metrics (API server request latency, etcd commit latency, controller manager status) monitored continuously? (Evidence: Prometheus, Grafana)</w:t>
      </w:r>
    </w:p>
    <w:p>
      <w:pPr>
        <w:pStyle w:val="ListBullet"/>
        <w:spacing w:before="0" w:after="40" w:line="276" w:lineRule="auto"/>
      </w:pPr>
      <w:r>
        <w:rPr>
          <w:rFonts w:ascii="Segoe UI" w:hAnsi="Segoe UI"/>
          <w:color w:val="0F172A"/>
          <w:sz w:val="18"/>
        </w:rPr>
        <w:t>2. Node/Pod/Container Metrics: Are Kubelet node metrics, container CPU utilization, cAdvisor memory working sets, and network I/O tracked across all clusters? (Evidence: Prometheus, Grafana)</w:t>
      </w:r>
    </w:p>
    <w:p>
      <w:pPr>
        <w:pStyle w:val="ListBullet"/>
        <w:spacing w:before="0" w:after="40" w:line="276" w:lineRule="auto"/>
      </w:pPr>
      <w:r>
        <w:rPr>
          <w:rFonts w:ascii="Segoe UI" w:hAnsi="Segoe UI"/>
          <w:color w:val="0F172A"/>
          <w:sz w:val="18"/>
        </w:rPr>
        <w:t>3. Deployment Health: Are CrashLoopBackOff counts, OOMKilled events, replica set rollouts, and deployment progression monitored in real time? (Evidence: Prometheus, K8s events, CI/CD records)</w:t>
      </w:r>
    </w:p>
    <w:p>
      <w:pPr>
        <w:pStyle w:val="ListBullet"/>
        <w:spacing w:before="0" w:after="40" w:line="276" w:lineRule="auto"/>
      </w:pPr>
      <w:r>
        <w:rPr>
          <w:rFonts w:ascii="Segoe UI" w:hAnsi="Segoe UI"/>
          <w:color w:val="0F172A"/>
          <w:sz w:val="18"/>
        </w:rPr>
        <w:t>4. Container Logs: Are container stdout/stderr logs ingested as structured JSON, with multiline exception handling and edge filtering via Vector or FluentBit? (Evidence: Loki, OpenTelemetry Collector)</w:t>
      </w:r>
    </w:p>
    <w:p>
      <w:pPr>
        <w:pStyle w:val="ListBullet"/>
        <w:spacing w:before="0" w:after="40" w:line="276" w:lineRule="auto"/>
      </w:pPr>
      <w:r>
        <w:rPr>
          <w:rFonts w:ascii="Segoe UI" w:hAnsi="Segoe UI"/>
          <w:color w:val="0F172A"/>
          <w:sz w:val="18"/>
        </w:rPr>
        <w:t>5. Kubernetes Events: Are Warning and Error events (e.g. FailedScheduling, Unhealthy, Evicted, BackOff, FailedMount) aggregated and alerted? (Evidence: Kubernetes events, Grafana)</w:t>
      </w:r>
    </w:p>
    <w:p>
      <w:pPr>
        <w:pStyle w:val="ListBullet"/>
        <w:spacing w:before="0" w:after="40" w:line="276" w:lineRule="auto"/>
      </w:pPr>
      <w:r>
        <w:rPr>
          <w:rFonts w:ascii="Segoe UI" w:hAnsi="Segoe UI"/>
          <w:color w:val="0F172A"/>
          <w:sz w:val="18"/>
        </w:rPr>
        <w:t>6. Service Mesh Telemetry: If Istio, Linkerd, or Envoy is deployed, are mTLS handshake failures, east-west traffic latencies, and circuit breaker trips monitored? (Evidence: Service mesh telemetry, Prometheus)</w:t>
      </w:r>
    </w:p>
    <w:p>
      <w:pPr>
        <w:pStyle w:val="ListBullet"/>
        <w:spacing w:before="0" w:after="40" w:line="276" w:lineRule="auto"/>
      </w:pPr>
      <w:r>
        <w:rPr>
          <w:rFonts w:ascii="Segoe UI" w:hAnsi="Segoe UI"/>
          <w:color w:val="0F172A"/>
          <w:sz w:val="18"/>
        </w:rPr>
        <w:t>7. Namespace &amp; Team Ownership: Are Kubernetes namespaces and pods tagged with standardized labels (team, squad, service, env) to attribute resource utilization and incidents? (Evidence: Prometheus, CI/CD records)</w:t>
      </w:r>
    </w:p>
    <w:p>
      <w:pPr>
        <w:pStyle w:val="ListBullet"/>
        <w:spacing w:before="0" w:after="40" w:line="276" w:lineRule="auto"/>
      </w:pPr>
      <w:r>
        <w:rPr>
          <w:rFonts w:ascii="Segoe UI" w:hAnsi="Segoe UI"/>
          <w:color w:val="0F172A"/>
          <w:sz w:val="18"/>
        </w:rPr>
        <w:t>8. Autoscaling Signals: Are Horizontal Pod Autoscaler (HPA) target metrics, KEDA queue triggers, and cluster autoscaler node provisioning delays tracked? (Evidence: Prometheus, Grafana)</w:t>
      </w:r>
    </w:p>
    <w:p>
      <w:pPr>
        <w:pStyle w:val="ListBullet"/>
        <w:spacing w:before="0" w:after="40" w:line="276" w:lineRule="auto"/>
      </w:pPr>
      <w:r>
        <w:rPr>
          <w:rFonts w:ascii="Segoe UI" w:hAnsi="Segoe UI"/>
          <w:color w:val="0F172A"/>
          <w:sz w:val="18"/>
        </w:rPr>
        <w:t>9. Resource Saturation: Are container CPU/memory requests vs limits monitored to prevent noisy neighbor interference and node CPU throttling? (Evidence: Prometheus, Grafana)</w:t>
      </w:r>
    </w:p>
    <w:p>
      <w:pPr>
        <w:pStyle w:val="ListBullet"/>
        <w:spacing w:before="0" w:after="40" w:line="276" w:lineRule="auto"/>
      </w:pPr>
      <w:r>
        <w:rPr>
          <w:rFonts w:ascii="Segoe UI" w:hAnsi="Segoe UI"/>
          <w:color w:val="0F172A"/>
          <w:sz w:val="18"/>
        </w:rPr>
        <w:t>10. Noisy Pod Logs: Is dynamic rate-limiting or log volume throttling enforced to prevent rogue debug loops from drowning log ingestion brokers? (Evidence: OpenTelemetry Collector, Loki)</w:t>
      </w:r>
    </w:p>
    <w:p>
      <w:pPr>
        <w:pStyle w:val="ListBullet"/>
        <w:spacing w:before="0" w:after="40" w:line="276" w:lineRule="auto"/>
      </w:pPr>
      <w:r>
        <w:rPr>
          <w:rFonts w:ascii="Segoe UI" w:hAnsi="Segoe UI"/>
          <w:color w:val="0F172A"/>
          <w:sz w:val="18"/>
        </w:rPr>
        <w:t>11. Trace Propagation Across Services: Are W3C or B3 trace context headers propagated across Kubernetes ingress controllers, sidecars, and inter-service HTTP/gRPC calls? (Evidence: Jaeger, OpenTelemetry Collector)</w:t>
      </w:r>
    </w:p>
    <w:p>
      <w:pPr>
        <w:pStyle w:val="ListBullet"/>
        <w:spacing w:before="0" w:after="40" w:line="276" w:lineRule="auto"/>
      </w:pPr>
      <w:r>
        <w:rPr>
          <w:rFonts w:ascii="Segoe UI" w:hAnsi="Segoe UI"/>
          <w:color w:val="0F172A"/>
          <w:sz w:val="18"/>
        </w:rPr>
        <w:t>12. Runbook &amp; Alert Routing: Are Prometheus Alertmanager alarms routed directly to PagerDuty/ITSM with embedded kubectl diagnostic runbook URLs? (Evidence: Prometheus, CI/CD records, Runbooks)</w:t>
      </w:r>
    </w:p>
    <w:p>
      <w:pPr>
        <w:keepNext/>
        <w:spacing w:before="200" w:after="60"/>
      </w:pPr>
      <w:r>
        <w:rPr>
          <w:rFonts w:ascii="Segoe UI" w:hAnsi="Segoe UI"/>
          <w:b/>
          <w:color w:val="334155"/>
          <w:sz w:val="21"/>
        </w:rPr>
        <w:t>Customer Journey &amp; Synthetic Monitoring Diagnostic (RUM &amp; Front-End Experience)</w:t>
      </w:r>
    </w:p>
    <w:p>
      <w:pPr>
        <w:pStyle w:val="ListBullet"/>
        <w:spacing w:before="0" w:after="40" w:line="276" w:lineRule="auto"/>
      </w:pPr>
      <w:r>
        <w:rPr>
          <w:rFonts w:ascii="Segoe UI" w:hAnsi="Segoe UI"/>
          <w:color w:val="0F172A"/>
          <w:sz w:val="18"/>
        </w:rPr>
        <w:t>1. User Perspective: Are critical customer journeys (e.g. user authentication, checkout, account transfers, portfolio refresh) monitored from the end-user's perspective 24/7? (EV03)</w:t>
      </w:r>
    </w:p>
    <w:p>
      <w:pPr>
        <w:pStyle w:val="ListBullet"/>
        <w:spacing w:before="0" w:after="40" w:line="276" w:lineRule="auto"/>
      </w:pPr>
      <w:r>
        <w:rPr>
          <w:rFonts w:ascii="Segoe UI" w:hAnsi="Segoe UI"/>
          <w:color w:val="0F172A"/>
          <w:sz w:val="18"/>
        </w:rPr>
        <w:t>2. Synthetic Probes: Are synthetic checks configured for key APIs, login, payment, reporting, data refresh, or critical business transactions? (EV03)</w:t>
      </w:r>
    </w:p>
    <w:p>
      <w:pPr>
        <w:pStyle w:val="ListBullet"/>
        <w:spacing w:before="0" w:after="40" w:line="276" w:lineRule="auto"/>
      </w:pPr>
      <w:r>
        <w:rPr>
          <w:rFonts w:ascii="Segoe UI" w:hAnsi="Segoe UI"/>
          <w:color w:val="0F172A"/>
          <w:sz w:val="18"/>
        </w:rPr>
        <w:t>3. Real User Monitoring (RUM): Is RUM deployed across web and mobile applications to capture Core Web Vitals, page rendering latency, and client-side JavaScript crashes? (EV03)</w:t>
      </w:r>
    </w:p>
    <w:p>
      <w:pPr>
        <w:pStyle w:val="ListBullet"/>
        <w:spacing w:before="0" w:after="40" w:line="276" w:lineRule="auto"/>
      </w:pPr>
      <w:r>
        <w:rPr>
          <w:rFonts w:ascii="Segoe UI" w:hAnsi="Segoe UI"/>
          <w:color w:val="0F172A"/>
          <w:sz w:val="18"/>
        </w:rPr>
        <w:t>4. Business &amp; Segment Correlation: Can incident alerts be linked to customer segment, geography, device type, business transaction, or financial revenue impact? (EV06)</w:t>
      </w:r>
    </w:p>
    <w:p>
      <w:pPr>
        <w:pStyle w:val="ListBullet"/>
        <w:spacing w:before="0" w:after="40" w:line="276" w:lineRule="auto"/>
      </w:pPr>
      <w:r>
        <w:rPr>
          <w:rFonts w:ascii="Segoe UI" w:hAnsi="Segoe UI"/>
          <w:color w:val="0F172A"/>
          <w:sz w:val="18"/>
        </w:rPr>
        <w:t>5. SLO Integration: Are synthetic and RUM signals connected directly to Service Level Objectives (SLOs) and error budget burn policies? (EV05)</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Observability Maturity Assessment Questionnaire | Platform-Neutral Edition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CRITICAL SERVICE &amp; DATA OBSERVABILITY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