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28" w:type="dxa"/>
              <w:left w:w="70" w:type="dxa"/>
              <w:bottom w:w="28" w:type="dxa"/>
              <w:right w:w="7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DOCUMENTO INSTITUCIONAL DE CALIDAD Y SEGURIDAD DEL PACIENTE</w:t>
            </w:r>
          </w:p>
        </w:tc>
      </w:tr>
    </w:tbl>
    <w:p>
      <w:pPr>
        <w:spacing w:before="160" w:after="0" w:line="259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44"/>
        </w:rPr>
        <w:t>✚</w:t>
      </w:r>
    </w:p>
    <w:p>
      <w:pPr>
        <w:spacing w:before="0" w:after="0" w:line="259" w:lineRule="auto"/>
        <w:jc w:val="center"/>
      </w:pPr>
      <w:r>
        <w:rPr>
          <w:rFonts w:ascii="Georgia" w:hAnsi="Georgia" w:eastAsia="Georgia"/>
          <w:b/>
          <w:i w:val="0"/>
          <w:color w:val="0D6E6E"/>
          <w:sz w:val="24"/>
        </w:rPr>
        <w:t>PROTOCOLO</w:t>
      </w:r>
    </w:p>
    <w:p>
      <w:pPr>
        <w:spacing w:before="0" w:after="8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32"/>
        </w:rPr>
        <w:t>Pérdida, Extravío o Deterioro de Historia Clínica</w:t>
      </w:r>
    </w:p>
    <w:p>
      <w:pPr>
        <w:spacing w:before="0" w:after="80"/>
        <w:pBdr>
          <w:bottom w:val="single" w:sz="18" w:space="1" w:color="0D6E6E"/>
        </w:pBdr>
      </w:pPr>
    </w:p>
    <w:p>
      <w:pPr>
        <w:spacing w:before="0" w:after="20" w:line="259" w:lineRule="auto"/>
        <w:jc w:val="center"/>
      </w:pPr>
      <w:r>
        <w:rPr>
          <w:rFonts w:ascii="Calibri" w:hAnsi="Calibri" w:eastAsia="Calibri"/>
          <w:b w:val="0"/>
          <w:i w:val="0"/>
          <w:color w:val="4A5563"/>
          <w:sz w:val="18"/>
        </w:rPr>
        <w:t>Código PROT-HC-001  ·  Versión 1.0  ·  22 de julio de 2026</w:t>
      </w:r>
    </w:p>
    <w:p>
      <w:pPr>
        <w:spacing w:before="0" w:after="160" w:line="259" w:lineRule="auto"/>
        <w:jc w:val="center"/>
      </w:pPr>
      <w:r>
        <w:rPr>
          <w:rFonts w:ascii="Calibri" w:hAnsi="Calibri" w:eastAsia="Calibri"/>
          <w:b w:val="0"/>
          <w:i/>
          <w:color w:val="4A5563"/>
          <w:sz w:val="16"/>
        </w:rPr>
        <w:t>Ámbito: Establecimientos de salud del Sistema Nacional de Salud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E8F3F3" w:val="clear"/>
            <w:tcBorders>
              <w:top w:val="single" w:sz="6" w:space="0" w:color="0D6E6E"/>
              <w:left w:val="single" w:sz="6" w:space="0" w:color="0D6E6E"/>
              <w:bottom w:val="single" w:sz="6" w:space="0" w:color="0D6E6E"/>
              <w:right w:val="single" w:sz="6" w:space="0" w:color="0D6E6E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☎  CONTACTO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20"/>
              </w:rPr>
              <w:t>0991976454</w:t>
            </w:r>
          </w:p>
        </w:tc>
        <w:tc>
          <w:tcPr>
            <w:tcW w:type="dxa" w:w="3400"/>
            <w:shd w:fill="E8F3F3" w:val="clear"/>
            <w:tcBorders>
              <w:top w:val="single" w:sz="6" w:space="0" w:color="0D6E6E"/>
              <w:left w:val="single" w:sz="6" w:space="0" w:color="0D6E6E"/>
              <w:bottom w:val="single" w:sz="6" w:space="0" w:color="0D6E6E"/>
              <w:right w:val="single" w:sz="6" w:space="0" w:color="0D6E6E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▣  CLASIFICACIÓN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20"/>
              </w:rPr>
              <w:t>CONFIDENCIAL</w:t>
            </w:r>
          </w:p>
        </w:tc>
        <w:tc>
          <w:tcPr>
            <w:tcW w:type="dxa" w:w="3400"/>
            <w:shd w:fill="E8F3F3" w:val="clear"/>
            <w:tcBorders>
              <w:top w:val="single" w:sz="6" w:space="0" w:color="0D6E6E"/>
              <w:left w:val="single" w:sz="6" w:space="0" w:color="0D6E6E"/>
              <w:bottom w:val="single" w:sz="6" w:space="0" w:color="0D6E6E"/>
              <w:right w:val="single" w:sz="6" w:space="0" w:color="0D6E6E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◎  VIGENCIA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20"/>
              </w:rPr>
              <w:t>Desde su aprobación</w:t>
            </w:r>
          </w:p>
        </w:tc>
      </w:tr>
    </w:tbl>
    <w:p>
      <w:pPr>
        <w:spacing w:before="200" w:after="80" w:line="259" w:lineRule="auto"/>
        <w:jc w:val="center"/>
      </w:pPr>
      <w:r>
        <w:rPr>
          <w:rFonts w:ascii="Calibri" w:hAnsi="Calibri" w:eastAsia="Calibri"/>
          <w:b/>
          <w:i w:val="0"/>
          <w:color w:val="0B2C4A"/>
          <w:sz w:val="18"/>
        </w:rPr>
        <w:t>CONTROL DE ELABORACIÓN Y APROBACIÓN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FFFFF" w:val="clear"/>
            <w:tcBorders>
              <w:top w:val="single" w:sz="6" w:space="0" w:color="0B2C4A"/>
              <w:left w:val="single" w:sz="6" w:space="0" w:color="0B2C4A"/>
              <w:bottom w:val="single" w:sz="6" w:space="0" w:color="0B2C4A"/>
              <w:right w:val="single" w:sz="6" w:space="0" w:color="0B2C4A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ELABORADO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Tlgo. Andrés Romero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Firma: ______________</w:t>
              <w:br/>
              <w:t>Fecha: ___/___/______</w:t>
            </w:r>
          </w:p>
        </w:tc>
        <w:tc>
          <w:tcPr>
            <w:tcW w:type="dxa" w:w="3400"/>
            <w:shd w:fill="FFFFFF" w:val="clear"/>
            <w:tcBorders>
              <w:top w:val="single" w:sz="6" w:space="0" w:color="0B2C4A"/>
              <w:left w:val="single" w:sz="6" w:space="0" w:color="0B2C4A"/>
              <w:bottom w:val="single" w:sz="6" w:space="0" w:color="0B2C4A"/>
              <w:right w:val="single" w:sz="6" w:space="0" w:color="0B2C4A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REVISADO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Dra. Stephany Tayupanda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Firma: ______________</w:t>
              <w:br/>
              <w:t>Fecha: ___/___/______</w:t>
            </w:r>
          </w:p>
        </w:tc>
        <w:tc>
          <w:tcPr>
            <w:tcW w:type="dxa" w:w="3400"/>
            <w:shd w:fill="FFFFFF" w:val="clear"/>
            <w:tcBorders>
              <w:top w:val="single" w:sz="6" w:space="0" w:color="0B2C4A"/>
              <w:left w:val="single" w:sz="6" w:space="0" w:color="0B2C4A"/>
              <w:bottom w:val="single" w:sz="6" w:space="0" w:color="0B2C4A"/>
              <w:right w:val="single" w:sz="6" w:space="0" w:color="0B2C4A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APROBADO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Dr. Gabriel García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Firma: ______________</w:t>
              <w:br/>
              <w:t>Fecha: ___/___/______</w:t>
            </w:r>
          </w:p>
        </w:tc>
      </w:tr>
    </w:tbl>
    <w:p>
      <w:pPr>
        <w:spacing w:before="0" w:after="120" w:line="259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⚠  USO INSTITUCIONAL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Cumplimiento obligatorio para personal de la cadena sanitaria y administrativo que custodie o maneje historias clínicas. Base: Acdo. 00115-2021 (Arts. 13–19) y Acdo. 00005216-A.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D6E6E" w:val="clear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Constitución · LOS · Acuerdos MSP 00115-2021 y 5216-A · Acuerdo 4934 · CGE 410-11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§  01  ·  BASE NORMATIVA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Instrumento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Referencia clave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Constitución de la República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Arts. 66.11, 66.19, 92 y 362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Ley Orgánica de Salud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Art. 7 lit. f) — HCU, confidencialidad y epicrisis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Ley de Derechos y Amparo al Paciente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Art. 4 — confidencialidad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Acuerdo MSP 00115-2021 (HCU)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Arts. 13 al 19 — eventos adversos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Acuerdo MSP 00005216-A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Arts. 8, 11, 14–20, 28–37 — custodia y acceso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Acuerdo MSP 4934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Código único de Historia Clínica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Acuerdo MSP 0457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Manual de conservación de HCU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Normas CGE 410-11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Plan de contingencias (HCU electrónica)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COIP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Art. 179 — revelación de secreto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◎  02  ·  OBJETIVO</w:t>
            </w:r>
          </w:p>
        </w:tc>
      </w:tr>
    </w:tbl>
    <w:p>
      <w:pPr>
        <w:spacing w:before="0" w:after="80"/>
      </w:pPr>
    </w:p>
    <w:p>
      <w:pPr>
        <w:spacing w:before="0" w:after="60" w:line="259" w:lineRule="auto"/>
        <w:jc w:val="both"/>
      </w:pPr>
      <w:r>
        <w:rPr>
          <w:rFonts w:ascii="Calibri" w:hAnsi="Calibri" w:eastAsia="Calibri"/>
          <w:b w:val="0"/>
          <w:i w:val="0"/>
          <w:color w:val="4A5563"/>
          <w:sz w:val="20"/>
        </w:rPr>
        <w:t>Establecer el procedimiento institucional ante la pérdida, extravío, deterioro, destrucción parcial o total, o indisponibilidad de la historia clínica (física, digital o electrónica), a fin de: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Proteger la confidencialidad, integridad y disponibilidad de la información de salud.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Garantizar la continuidad de la atención al usuario/paciente.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Recuperar o reconstruir la documentación clínica conforme a la normativa vigente.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Determinar causas, responsabilidades y medidas correctivas.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◈  03  ·  ALCANCE</w:t>
            </w:r>
          </w:p>
        </w:tc>
      </w:tr>
    </w:tbl>
    <w:p>
      <w:pPr>
        <w:spacing w:before="0" w:after="80"/>
      </w:pPr>
    </w:p>
    <w:p>
      <w:pPr>
        <w:spacing w:before="0" w:after="80" w:line="259" w:lineRule="auto"/>
        <w:jc w:val="both"/>
      </w:pPr>
      <w:r>
        <w:rPr>
          <w:rFonts w:ascii="Calibri" w:hAnsi="Calibri" w:eastAsia="Calibri"/>
          <w:b w:val="0"/>
          <w:i w:val="0"/>
          <w:color w:val="4A5563"/>
          <w:sz w:val="20"/>
        </w:rPr>
        <w:t>Aplica a todo el personal de la cadena sanitaria y administrativo del establecimiento que custodie, maneje, traslade o archive historias clínicas y documentación clínica relacionada, en cualquier soporte.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▣  04  ·  DEFINICIONES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Término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Definición operativa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Historia clínica única (HCU)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Documento técnico-legal obligatorio que registra sistemáticamente la atención de salud.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Pérdida / extravío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Imposibilidad de localizar la HCU en el archivo o servicio correspondiente.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Deterioro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Daño físico o lógico que impide el uso seguro o legible de la HCU.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Evento adverso sobre el archivo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Incendio, inundación, sismo, robo, falla informática u otro riesgo al archivo.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activo / pasivo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Activo: atención en últimos 5 años. Pasivo: sin atención por más de 5 años.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recuperado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Expedientes rescatados tras un evento, ordenados correlativamente.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Custodia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Responsabilidad institucional de conservar la HCU; durante la prestación, también de la cadena sanitaria.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●  05  ·  RESPONSABLES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Rol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Responsabilidad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Máxima autoridad del establecimiento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Autoriza ingreso al archivo; aprueba actas, informe final y medidas.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Admisiones / Archivo clínico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Detección, inventario, archivo recuperado, reapertura y control de préstamos.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Unidad de Tecnología (si aplica)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Contingencia informática, respaldos y restauración (CGE 410-11).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Comité de Calidad y Seguridad del Paciente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Activa el plan de contingencia y da seguimiento (Art. 13).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Comité Técnico de Seguridad del Paciente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Coordina acciones técnicas de seguridad del paciente.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Cadena sanitaria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Custodia durante la atención; reinicio del registro clínico.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Talento Humano / Asesoría jurídica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Investigación administrativa y régimen disciplinario.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⛨  06  ·  MEDIDAS PREVENTIVAS</w:t>
            </w:r>
          </w:p>
        </w:tc>
      </w:tr>
    </w:tbl>
    <w:p>
      <w:pPr>
        <w:spacing w:before="0" w:after="80"/>
      </w:pP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Archivo clínico centralizado, ordenado y de acceso restringido.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Control de salida/entrada (préstamo) de HCU físicas con trazabilidad.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Documentos clínicos con la leyenda CONFIDENCIAL en el margen superior.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Traslados solo por personal autorizado y justificados.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5.  </w:t>
      </w:r>
      <w:r>
        <w:rPr>
          <w:rFonts w:ascii="Calibri" w:hAnsi="Calibri" w:eastAsia="Calibri"/>
          <w:b w:val="0"/>
          <w:i w:val="0"/>
          <w:color w:val="4A5563"/>
          <w:sz w:val="20"/>
        </w:rPr>
        <w:t>No dejar historias clínicas abiertas ni visibles para terceros.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6.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 existe sistema electrónico: respaldos periódicos, claves personales y plan de contingencia.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7.  </w:t>
      </w:r>
      <w:r>
        <w:rPr>
          <w:rFonts w:ascii="Calibri" w:hAnsi="Calibri" w:eastAsia="Calibri"/>
          <w:b w:val="0"/>
          <w:i w:val="0"/>
          <w:color w:val="4A5563"/>
          <w:sz w:val="20"/>
        </w:rPr>
        <w:t>Digitalización progresiva del archivo físico (Art. 14 Acdo. 00115-2021).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8.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Cláusula de confidencialidad en contratos del personal.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⚑  07  ·  CLASIFICACIÓN DEL EVENTO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1A8A8A" w:val="clear"/>
            <w:tcBorders>
              <w:top w:val="single" w:sz="4" w:space="0" w:color="1A8A8A"/>
              <w:left w:val="single" w:sz="4" w:space="0" w:color="1A8A8A"/>
              <w:bottom w:val="single" w:sz="4" w:space="0" w:color="1A8A8A"/>
              <w:right w:val="single" w:sz="4" w:space="0" w:color="1A8A8A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E1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Extravío unitario</w:t>
            </w:r>
          </w:p>
        </w:tc>
        <w:tc>
          <w:tcPr>
            <w:tcW w:type="dxa" w:w="2040"/>
            <w:shd w:fill="2A9D8F" w:val="clear"/>
            <w:tcBorders>
              <w:top w:val="single" w:sz="4" w:space="0" w:color="2A9D8F"/>
              <w:left w:val="single" w:sz="4" w:space="0" w:color="2A9D8F"/>
              <w:bottom w:val="single" w:sz="4" w:space="0" w:color="2A9D8F"/>
              <w:right w:val="single" w:sz="4" w:space="0" w:color="2A9D8F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E2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Deterioro parcial</w:t>
            </w:r>
          </w:p>
        </w:tc>
        <w:tc>
          <w:tcPr>
            <w:tcW w:type="dxa" w:w="2040"/>
            <w:shd w:fill="E9C46A" w:val="clear"/>
            <w:tcBorders>
              <w:top w:val="single" w:sz="4" w:space="0" w:color="E9C46A"/>
              <w:left w:val="single" w:sz="4" w:space="0" w:color="E9C46A"/>
              <w:bottom w:val="single" w:sz="4" w:space="0" w:color="E9C46A"/>
              <w:right w:val="single" w:sz="4" w:space="0" w:color="E9C46A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E3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Pérdida parcial</w:t>
            </w:r>
          </w:p>
        </w:tc>
        <w:tc>
          <w:tcPr>
            <w:tcW w:type="dxa" w:w="2040"/>
            <w:shd w:fill="E76F51" w:val="clear"/>
            <w:tcBorders>
              <w:top w:val="single" w:sz="4" w:space="0" w:color="E76F51"/>
              <w:left w:val="single" w:sz="4" w:space="0" w:color="E76F51"/>
              <w:bottom w:val="single" w:sz="4" w:space="0" w:color="E76F51"/>
              <w:right w:val="single" w:sz="4" w:space="0" w:color="E76F51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E4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Pérdida total</w:t>
            </w:r>
          </w:p>
        </w:tc>
        <w:tc>
          <w:tcPr>
            <w:tcW w:type="dxa" w:w="2040"/>
            <w:shd w:fill="9B2226" w:val="clear"/>
            <w:tcBorders>
              <w:top w:val="single" w:sz="4" w:space="0" w:color="9B2226"/>
              <w:left w:val="single" w:sz="4" w:space="0" w:color="9B2226"/>
              <w:bottom w:val="single" w:sz="4" w:space="0" w:color="9B2226"/>
              <w:right w:val="single" w:sz="4" w:space="0" w:color="9B2226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E5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Falla electrónica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Código</w:t>
            </w:r>
          </w:p>
        </w:tc>
        <w:tc>
          <w:tcPr>
            <w:tcW w:type="dxa" w:w="34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34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E1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Extravío unitario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Una o pocas HCU no localizadas.</w:t>
            </w:r>
          </w:p>
        </w:tc>
      </w:tr>
      <w:tr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E2</w:t>
            </w:r>
          </w:p>
        </w:tc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Deterioro / daño parcial</w:t>
            </w:r>
          </w:p>
        </w:tc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Expedientes dañados o ilegibles en parte.</w:t>
            </w:r>
          </w:p>
        </w:tc>
      </w:tr>
      <w:tr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E3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Pérdida parcial del archivo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Parte del archivo activo/pasivo afectado.</w:t>
            </w:r>
          </w:p>
        </w:tc>
      </w:tr>
      <w:tr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E4</w:t>
            </w:r>
          </w:p>
        </w:tc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Pérdida total del archivo</w:t>
            </w:r>
          </w:p>
        </w:tc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eliminado en su totalidad.</w:t>
            </w:r>
          </w:p>
        </w:tc>
      </w:tr>
      <w:tr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E5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Indisponibilidad electrónica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Falla de sistema, corrupción o ataque.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⟳  08  ·  FLUJO TRAS LA NOTIFICACIÓN DE PÉRDIDA</w:t>
            </w:r>
          </w:p>
        </w:tc>
      </w:tr>
    </w:tbl>
    <w:p>
      <w:pPr>
        <w:spacing w:before="0" w:after="80"/>
      </w:pPr>
    </w:p>
    <w:p>
      <w:pPr>
        <w:spacing w:before="0" w:after="120" w:line="259" w:lineRule="auto"/>
        <w:jc w:val="center"/>
      </w:pPr>
      <w:r>
        <w:rPr>
          <w:rFonts w:ascii="Calibri" w:hAnsi="Calibri" w:eastAsia="Calibri"/>
          <w:b w:val="0"/>
          <w:i/>
          <w:color w:val="4A5563"/>
          <w:sz w:val="18"/>
        </w:rPr>
        <w:t>Gráfico del recorrido obligatorio una vez notificada la pérdida, extravío o deterioro de una historia clínica.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779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perdida_h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7962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➜  LECTURA DEL FLUJO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1 Notificación (Acta 01) → 2 Activación Art. 13 → 3 Inventario (Acta 02) → Decisión: SÍ = Acta 03 / NO = Acta 04 → 5 Usuario (Acta 05, si aplica) → 6 Cierre (Acta 06). En paralelo: continuidad asistencial con Anexo A.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➜  09  ·  PROCEDIMIENTO OPERATIVO DETALLADO</w:t>
            </w:r>
          </w:p>
        </w:tc>
      </w:tr>
    </w:tbl>
    <w:p>
      <w:pPr>
        <w:spacing w:before="0" w:after="80"/>
      </w:pP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9.1  Detección y contención (inmediato)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Quien detecte el hecho comunica de inmediato a Archivo clínico / Admisiones y a su jefatura.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Completa el Acta 01 – Detección y notificación.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Asegura el área: restringe el acceso; no mueve ni descarta material sin inventario.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 hay atención en curso, activa el modo de contingencia asistencial (numeral 9.4).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9.2  Activación del plan de contingencia  ·  Art. 13 Acdo. 00115-2021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La máxima autoridad o quien delegue activa el plan de contingencia del establecimiento.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convocan el Comité de Gestión de la Calidad y Seguridad del Paciente y el Comité Técnico de Seguridad del Paciente.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asigna el número de incidente: INC-HC-AAAA-###.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clasifica el evento (E1 a E5).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9.3  Diagnóstico e inventario  ·  Art. 16 Acdo. 00115-2021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Con autorización de ingreso al archivo físico central, se levanta el diagnóstico del estado de los expedientes.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clasifican según preservación / deterioro / faltantes.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Los expedientes en buen estado se ubican en el archivo recuperado, ordenado correlativamente.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completa el Acta 02 – Diagnóstico e inventario.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9.4  Continuidad de la atención  ·  Art. 15 Acdo. 00115-2021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Sin HCU electrónica disponible: Admisiones provee formularios oficiales para reiniciar el registro (Anexo A).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Con HCU electrónica: tecnología restablece el sistema y/o restaura desde respaldos.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Identificación del usuario conforme al Acuerdo 4934.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Consignar nota administrativa: “Reapertura / reconstrucción por evento de pérdida — fecha — INC-HC-…”.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9.5  Recuperación y numeración  ·  Arts. 18 y 19 Acdo. 00115-2021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Situación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Acción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físico eliminado en totalidad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Nueva numeración desde la serie 000000 (solo formato físico).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físico recuperado parcialmente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Continuar desde N.º aproximado siguiente al último previo; anexar formularios recuperados.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HCU electrónica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Continuar desde el estado en que se detuvo / restaurar respaldo.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Extravío unitario recuperable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Restituir al archivo activo con acta; no abrir número nuevo.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➜  SIGUIENTE PASO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Completar Acta 03 – Recuperación / restauración.</w:t>
            </w:r>
          </w:p>
        </w:tc>
      </w:tr>
    </w:tbl>
    <w:p>
      <w:pPr>
        <w:spacing w:after="60"/>
      </w:pP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9.6  Reconstrucción documental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20"/>
        </w:rPr>
        <w:t>Cuando no sea posible recuperar la HCU íntegra, reconstruir solo con información verificable: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Copias certificadas previamente entregadas al usuario (Arts. 28–32, Acdo. 5216-A).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Resultados de laboratorio, imagenología u otros apoyos diagnósticos.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Referencias, contrarreferencias, epicrisis, informes.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Formulario de contingencia (Anexo A).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Declaración del profesional tratante sobre hechos de su conocimiento directo.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4E5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⚠  PROHIBICIÓN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Prohibido consignar datos clínicos no verificables. Declarar lagunas. Completar Acta 04.</w:t>
            </w:r>
          </w:p>
        </w:tc>
      </w:tr>
    </w:tbl>
    <w:p>
      <w:pPr>
        <w:spacing w:after="60"/>
      </w:pP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9.7  Comunicación al usuario/paciente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Informar en entorno privado al usuario o a su representante legal.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Completar Acta 05 – Notificación al usuario.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 solicita copia certificada: entregar en máximo 48 horas (Art. 30, Acdo. 5216-A), salvo emergencia.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9.8  Cierre, responsabilidades y mejora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Elaborar Acta 06 – Informe de cierre.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Definir medidas correctivas (préstamos, capacitación, digitalización, respaldos).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 hay indicios de responsabilidad: remisión a Talento Humano (Art. 37, Acdo. 5216-A).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Archivar el expediente del incidente en área restringida.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⏱  10  ·  TIEMPOS MÁXIMOS DE RESPUESTA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Fase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Tiempo máximo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Contención y notificación interna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30 minutos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Activación de comités y clasificación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2 horas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Contingencia asistencial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Inmediata si hay paciente en atención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Inventario / diagnóstico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1 día hábil (o según magnitud)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Informe de cierre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5 días hábiles desde la resolución operativa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Entrega de copia al usuario (si solicita)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48 horas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✎  11  ·  ANEXOS — FORMATOS DE ACTA</w:t>
            </w:r>
          </w:p>
        </w:tc>
      </w:tr>
    </w:tbl>
    <w:p>
      <w:pPr>
        <w:spacing w:before="0" w:after="80"/>
      </w:pP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 w:val="0"/>
          <w:i/>
          <w:color w:val="4A5563"/>
          <w:sz w:val="16"/>
        </w:rPr>
        <w:t>Formularios CONFIDENCIALES. Conservar firmados en el expediente INC-HC-AAAA-###. Contacto: 0991976454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01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Detección y notificación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Establecimiento: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     Hora __:__: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QUIEN DETECTA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Cargo: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Cédula: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TIPO DE EVENTO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E1 Extravío unitario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E2 Deterioro parcial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E3 Pérdida parcial del archivo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E4 Pérdida total del archivo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E5 Indisponibilidad electrónica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Descripción: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HISTORIA(S) CLÍNICA(S) AFECTADA(S)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de archivo / código HCU: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Usuario (nombres o solo cédula/código*): _______________________________________________</w:t>
      </w:r>
    </w:p>
    <w:p>
      <w:pPr>
        <w:spacing w:before="0" w:after="20" w:line="259" w:lineRule="auto"/>
      </w:pPr>
      <w:r>
        <w:rPr>
          <w:rFonts w:ascii="Calibri" w:hAnsi="Calibri" w:eastAsia="Calibri"/>
          <w:b w:val="0"/>
          <w:i/>
          <w:color w:val="4A5563"/>
          <w:sz w:val="14"/>
        </w:rPr>
        <w:t>*En enfermedades sensibles, usar cédula/código (Art. 13 Acdo. 5216-A).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Otros números: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ÚLTIMO MOVIMIENTO CONOCIDO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de salida del archivo: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Servicio/área: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Quién retiró: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Motivo: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Había préstamo registrado: Sí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Había préstamo registrado: No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CONTENCIÓN INMEDIATA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Área restringida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Evidencia resguardada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se alteró ni descartó material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Contingencia asistencial activada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6. NOTIFICACIONES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Archivo / Admisiones — hora __:__ — 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Dirección / autoridad — hora __:__ — 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Comités de seguridad — hora __:__ — 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Tecnología (si aplica) — hora __:__ — Nombre: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7. OBSERVACIONES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B2C4A"/>
          <w:sz w:val="18"/>
        </w:rPr>
        <w:t>FIRMAS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tcBorders>
              <w:top w:val="single" w:sz="5" w:space="0" w:color="0B2C4A"/>
              <w:left w:val="single" w:sz="5" w:space="0" w:color="0B2C4A"/>
              <w:bottom w:val="single" w:sz="5" w:space="0" w:color="0B2C4A"/>
              <w:right w:val="single" w:sz="5" w:space="0" w:color="0B2C4A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Detecta</w:t>
              <w:br/>
              <w:br/>
              <w:t>_______________</w:t>
              <w:br/>
              <w:t>Firma / Fecha</w:t>
            </w:r>
          </w:p>
        </w:tc>
        <w:tc>
          <w:tcPr>
            <w:tcW w:type="dxa" w:w="3400"/>
            <w:tcBorders>
              <w:top w:val="single" w:sz="5" w:space="0" w:color="0B2C4A"/>
              <w:left w:val="single" w:sz="5" w:space="0" w:color="0B2C4A"/>
              <w:bottom w:val="single" w:sz="5" w:space="0" w:color="0B2C4A"/>
              <w:right w:val="single" w:sz="5" w:space="0" w:color="0B2C4A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Jefatura</w:t>
              <w:br/>
              <w:br/>
              <w:t>_______________</w:t>
              <w:br/>
              <w:t>Firma / Fecha</w:t>
            </w:r>
          </w:p>
        </w:tc>
        <w:tc>
          <w:tcPr>
            <w:tcW w:type="dxa" w:w="3400"/>
            <w:tcBorders>
              <w:top w:val="single" w:sz="5" w:space="0" w:color="0B2C4A"/>
              <w:left w:val="single" w:sz="5" w:space="0" w:color="0B2C4A"/>
              <w:bottom w:val="single" w:sz="5" w:space="0" w:color="0B2C4A"/>
              <w:right w:val="single" w:sz="5" w:space="0" w:color="0B2C4A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</w:t>
              <w:br/>
              <w:br/>
              <w:t>_______________</w:t>
              <w:br/>
              <w:t>Firma / Fecha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02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Diagnóstico e inventario / archivo recuperado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EQUIPO EVALUADOR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Autoridad / Dirección: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Archivo clínico / Admisiones: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Tecnología (si aplica):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Otro: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AUTORIZACIÓN DE INGRESO AL ARCHIVO CENTRAL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Autorizada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Fecha/hora __/__/______ __:__: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ALCANCE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Archivo activo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Archivo pasivo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Archivo digital/electrónico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Documentación clínica anexa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INVENTARIO RESUMIDO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/>
          <w:color w:val="4A5563"/>
          <w:sz w:val="14"/>
        </w:rPr>
        <w:t>Estado: B = Buen estado  ·  D = Deteriorado  ·  F = Faltante  ·  C = Corrupto/ilegible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N.º HCU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Estado*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Ubicación hallada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</w:tbl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Total revisados ______  Recuperados ______  Faltantes ______  Deteriorados 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ARCHIVO RECUPERADO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Conformado y ordenado correlativamente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Ubicación temporal: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6. CLASIFICACIÓN DEL EVENTO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Confirmado como: E__: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Existe respaldo electrónico: Sí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aplica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Último respaldo conocido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7. CONCLUSIONES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Firmas del equipo: 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03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Recuperación / restauración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MÉTODO APLICADO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Localización y restitución al archivo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Incorporación a archivo recuperado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Restauración desde respaldo electrónico / contingencia TI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Anexión de formularios recuperados a HCU reaperturada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NUMERACIÓN (Arts. 18 y 19, Acdo. 00115-2021)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aplica (mismo número)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Pérdida total física → reinicio desde 000000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Recuperación parcial física → continuación desde N.º indicado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Electrónica → continuidad desde estado restaurado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anterior: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vigente: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RESULTADO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/>
          <w:color w:val="4A5563"/>
          <w:sz w:val="14"/>
        </w:rPr>
        <w:t>OK = íntegra  ·  PARCIAL  ·  REAPERTURA  ·  NO RECUPERABLE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N.º HCU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Resultado**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Validado por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</w:tbl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CONFIDENCIALIDAD Y TRAZABILIDAD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Sin acceso de personas no autorizadas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Registro de custodia actualizado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Nota administrativa consignada en la HCU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CIERRE DE LA FASE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Archivo / Admisiones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Tecnología (si aplica)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Autoridad del establecimiento — Firma — Fecha: 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04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Reconstrucción documental de historia clínica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vigente: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anterior (si hubo):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MOTIVO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HCU no recuperable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Recuperación parcial – completar lagunas verificables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FUENTES UTILIZADAS (anexar copias)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Anexo A – Formulario de contingencia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Copia / epicrisis / informes del usuario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Resultados de laboratorio / imagenología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Referencia / contrarreferencia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Declaración del profesional tratante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4E5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⚠  PROHIBICIÓN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Prohibido registrar datos no verificables.</w:t>
            </w:r>
          </w:p>
        </w:tc>
      </w:tr>
    </w:tbl>
    <w:p>
      <w:pPr>
        <w:spacing w:after="60"/>
      </w:pP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CONTENIDO RECONSTRUIDO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Identificación del usuario: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Antecedentes recuperados: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Atenciones / fechas recuperadas: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Lagunas declaradas: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REGISTRO EN LA HCU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de reapertura / carga __/__/______: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Se consignó nota administrativa con N.º de incidente: Sí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Profesional responsable — Firma: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APROBACIÓN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Archivo / Admisiones — Firma: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Autoridad del establecimiento — Firma: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Usuario notificado: Sí (Acta 05)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aplica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05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Notificación al usuario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/>
          <w:i w:val="0"/>
          <w:color w:val="0D6E6E"/>
          <w:sz w:val="18"/>
        </w:rPr>
        <w:t>Contacto institucional: 0991976454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Usuario / representante: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Cédula: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Parentesco (si aplica):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Se informa, en entorno privado, que: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Su historia clínica estuvo temporalmente indisponible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Fue localizada / recuperada íntegramente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Fue recuperada parcialmente / reconstruida (con lagunas declaradas)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Puede solicitar copia certificada (plazo: 48 horas desde la solicitud, salvo emergencia)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Medio: Presencial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Escrito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Documentos entregados: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Declaración del usuario: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Comprendo la información y no requiero copia ahora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Solicito copia certificada — Fecha solicitud __/__/______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Observaciones: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 usuario / representante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 funcionario del establecimiento — Cargo: 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06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Informe de cierre del incidente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cierre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RESUMEN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Tipo de evento: E__: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Inicio __/__/____ __:__     Cierre operativo __/__/____ __:__: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HCU afectadas ______  Recuperadas ______  No recuperables 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CAUSA RAÍZ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ACCIONES REALIZADAS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01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02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03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04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05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Contingencia asistencial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Restauración / reapertura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Capacitación / medida correctiva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Detalle: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IMPACTO EN DERECHOS DEL USUARIO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Sin afectación material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Afectación temporal de disponibilidad (restituida)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Reconstrucción con lagunas – usuarios notificados: 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MEDIDAS CORRECTIVAS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Medida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Responsable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Plazo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</w:tbl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6. RESPONSABILIDADES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Sin responsabilidad individual identificada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Remitido a proceso administrativo interno — Exp.: 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7. APROBACIÓN DEL CIERRE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Elabora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Comité de Calidad / Seguridad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Autoridad del establecimiento — Firma — Fecha: _______________________________________________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▣  ARCHIVO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Expediente del incidente en área restringida / custodia institucional.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ANEXO A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Formulario de contingencia (atención sin HCU disponible)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/>
          <w:i w:val="0"/>
          <w:color w:val="9B2226"/>
          <w:sz w:val="18"/>
        </w:rPr>
        <w:t>NO DEJAR A LA VISTA DE TERCEROS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     Hora __:__: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Establecimiento: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Usuario: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CI / Pasaporte: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conocido (si hay):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Edad ______   Sexo 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Representante / acompañante: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Profesional — Firma: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Motivo de consulta / atención: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Anamnesis / subjetivo: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Examen / objetivo: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Diagnóstico / impresión diagnóstica: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Plan / tratamiento / indicaciones: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Próxima cita / referencia: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Consentimiento informado: Sí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aplica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➜  INSTRUCCIÓN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Al recuperar o reaperturar la HCU, transcribir este registro y archivar el formulario en el expediente del incidente. No destruir hasta el cierre (Acta 06).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ANEXO B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Lista de verificación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Personal socializado sobre este protocolo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Actas 01–06 y Anexo A disponibles en Archivo / Admisiones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Archivo clínico con acceso restringido y control de préstamos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Plan de contingencia del establecimiento actualizado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Respaldos electrónicos verificados (si aplica)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Carpeta de incidentes INC-HC en custodia restringida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Cláusula de confidencialidad en contratos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Contacto institucional visible: 0991976454</w:t>
      </w:r>
    </w:p>
    <w:p>
      <w:pPr>
        <w:spacing w:before="200" w:after="80" w:line="259" w:lineRule="auto"/>
        <w:jc w:val="center"/>
      </w:pPr>
      <w:r>
        <w:rPr>
          <w:rFonts w:ascii="Calibri" w:hAnsi="Calibri" w:eastAsia="Calibri"/>
          <w:b/>
          <w:i w:val="0"/>
          <w:color w:val="0B2C4A"/>
          <w:sz w:val="20"/>
        </w:rPr>
        <w:t>CONTROL FINAL DE FIRMAS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ELABORADO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Tlgo. Andrés Romero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_______________</w:t>
              <w:br/>
              <w:t>Firma</w:t>
              <w:br/>
              <w:t>___/___/______</w:t>
            </w:r>
          </w:p>
        </w:tc>
        <w:tc>
          <w:tcPr>
            <w:tcW w:type="dxa" w:w="34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REVISADO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Dra. Stephany Tayupanda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_______________</w:t>
              <w:br/>
              <w:t>Firma</w:t>
              <w:br/>
              <w:t>___/___/______</w:t>
            </w:r>
          </w:p>
        </w:tc>
        <w:tc>
          <w:tcPr>
            <w:tcW w:type="dxa" w:w="34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APROBADO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Dr. Gabriel García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_______________</w:t>
              <w:br/>
              <w:t>Firma</w:t>
              <w:br/>
              <w:t>___/___/______</w:t>
            </w:r>
          </w:p>
        </w:tc>
      </w:tr>
    </w:tbl>
    <w:p>
      <w:pPr>
        <w:spacing w:before="160" w:after="40" w:line="259" w:lineRule="auto"/>
        <w:jc w:val="center"/>
      </w:pPr>
      <w:r>
        <w:rPr>
          <w:rFonts w:ascii="Calibri" w:hAnsi="Calibri" w:eastAsia="Calibri"/>
          <w:b/>
          <w:i w:val="0"/>
          <w:color w:val="0D6E6E"/>
          <w:sz w:val="20"/>
        </w:rPr>
        <w:t>☎  Teléfono de contacto: 0991976454</w:t>
      </w:r>
    </w:p>
    <w:p>
      <w:pPr>
        <w:spacing w:before="0" w:after="0" w:line="259" w:lineRule="auto"/>
        <w:jc w:val="center"/>
      </w:pPr>
      <w:r>
        <w:rPr>
          <w:rFonts w:ascii="Calibri" w:hAnsi="Calibri" w:eastAsia="Calibri"/>
          <w:b w:val="0"/>
          <w:i/>
          <w:color w:val="4A5563"/>
          <w:sz w:val="14"/>
        </w:rPr>
        <w:t>Documento de protocolo institucional conforme a la normativa del MSP vigente.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A5563"/>
        <w:sz w:val="14"/>
      </w:rPr>
      <w:t xml:space="preserve">Contacto: 0991976454   ·   Página </w:t>
    </w:r>
    <w:r>
      <w:fldChar w:fldCharType="begin"/>
    </w:r>
    <w:r>
      <w:rPr>
        <w:rFonts w:ascii="Calibri" w:hAnsi="Calibri" w:eastAsia="Calibri"/>
        <w:b w:val="0"/>
        <w:i w:val="0"/>
        <w:color w:val="4A5563"/>
        <w:sz w:val="14"/>
      </w:rPr>
      <w:instrText xml:space="preserve"> PAGE </w:instrText>
    </w:r>
    <w:r>
      <w:fldChar w:fldCharType="end"/>
    </w:r>
    <w:r>
      <w:rPr>
        <w:rFonts w:ascii="Calibri" w:hAnsi="Calibri" w:eastAsia="Calibri"/>
        <w:b w:val="0"/>
        <w:i w:val="0"/>
        <w:color w:val="4A5563"/>
        <w:sz w:val="14"/>
      </w:rPr>
      <w:t xml:space="preserve"> de </w:t>
    </w:r>
    <w:r>
      <w:fldChar w:fldCharType="begin"/>
    </w:r>
    <w:r>
      <w:rPr>
        <w:rFonts w:ascii="Calibri" w:hAnsi="Calibri" w:eastAsia="Calibri"/>
        <w:b w:val="0"/>
        <w:i w:val="0"/>
        <w:color w:val="4A5563"/>
        <w:sz w:val="14"/>
      </w:rP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10" w:space="2" w:color="0D6E6E"/>
      </w:pBdr>
    </w:pPr>
    <w:r>
      <w:rPr>
        <w:rFonts w:ascii="Calibri" w:hAnsi="Calibri" w:eastAsia="Calibri"/>
        <w:b w:val="0"/>
        <w:i w:val="0"/>
        <w:color w:val="0D6E6E"/>
        <w:sz w:val="14"/>
      </w:rPr>
      <w:t>PROT-HC-001  ·  Protocolo de Pérdida de Historia Clínica  · 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