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FFFFF" w:val="clear"/>
            <w:tcBorders>
              <w:top w:val="single" w:sz="6" w:space="0" w:color="C5D4DC"/>
              <w:left w:val="single" w:sz="6" w:space="0" w:color="C5D4DC"/>
              <w:bottom w:val="single" w:sz="6" w:space="0" w:color="C5D4DC"/>
              <w:right w:val="single" w:sz="6" w:space="0" w:color="C5D4DC"/>
            </w:tcBorders>
            <w:tcMar>
              <w:top w:w="40" w:type="dxa"/>
              <w:left w:w="50" w:type="dxa"/>
              <w:bottom w:w="30" w:type="dxa"/>
              <w:right w:w="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600000" cy="109008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s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0" cy="1090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4A5568"/>
                <w:sz w:val="18"/>
              </w:rPr>
              <w:t>MINISTERIO DE SALUD PÚBLICA DEL ECUADOR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F5D402" w:val="clear"/>
            <w:tcBorders>
              <w:top w:val="single" w:sz="2" w:space="0" w:color="F5D402"/>
              <w:left w:val="single" w:sz="2" w:space="0" w:color="F5D402"/>
              <w:bottom w:val="single" w:sz="2" w:space="0" w:color="F5D402"/>
              <w:right w:val="single" w:sz="2" w:space="0" w:color="F5D402"/>
            </w:tcBorders>
            <w:tcMar>
              <w:top w:w="6" w:type="dxa"/>
              <w:left w:w="0" w:type="dxa"/>
              <w:bottom w:w="6" w:type="dxa"/>
              <w:right w:w="0" w:type="dxa"/>
            </w:tcMar>
          </w:tcPr>
          <w:p>
            <w:r/>
          </w:p>
        </w:tc>
        <w:tc>
          <w:tcPr>
            <w:tcW w:type="dxa" w:w="3289"/>
            <w:shd w:fill="191497" w:val="clear"/>
            <w:tcBorders>
              <w:top w:val="single" w:sz="2" w:space="0" w:color="191497"/>
              <w:left w:val="single" w:sz="2" w:space="0" w:color="191497"/>
              <w:bottom w:val="single" w:sz="2" w:space="0" w:color="191497"/>
              <w:right w:val="single" w:sz="2" w:space="0" w:color="191497"/>
            </w:tcBorders>
            <w:tcMar>
              <w:top w:w="6" w:type="dxa"/>
              <w:left w:w="0" w:type="dxa"/>
              <w:bottom w:w="6" w:type="dxa"/>
              <w:right w:w="0" w:type="dxa"/>
            </w:tcMar>
          </w:tcPr>
          <w:p>
            <w:r/>
          </w:p>
        </w:tc>
        <w:tc>
          <w:tcPr>
            <w:tcW w:type="dxa" w:w="3289"/>
            <w:shd w:fill="D61A0C" w:val="clear"/>
            <w:tcBorders>
              <w:top w:val="single" w:sz="2" w:space="0" w:color="D61A0C"/>
              <w:left w:val="single" w:sz="2" w:space="0" w:color="D61A0C"/>
              <w:bottom w:val="single" w:sz="2" w:space="0" w:color="D61A0C"/>
              <w:right w:val="single" w:sz="2" w:space="0" w:color="D61A0C"/>
            </w:tcBorders>
            <w:tcMar>
              <w:top w:w="6" w:type="dxa"/>
              <w:left w:w="0" w:type="dxa"/>
              <w:bottom w:w="6" w:type="dxa"/>
              <w:right w:w="0" w:type="dxa"/>
            </w:tcMar>
          </w:tcPr>
          <w:p>
            <w:r/>
          </w:p>
        </w:tc>
      </w:tr>
    </w:tbl>
    <w:p>
      <w:pPr>
        <w:spacing w:after="160"/>
      </w:pPr>
    </w:p>
    <w:p>
      <w:pPr>
        <w:spacing w:before="0" w:after="80" w:line="276" w:lineRule="auto"/>
        <w:jc w:val="center"/>
      </w:pPr>
      <w:r>
        <w:rPr>
          <w:rFonts w:ascii="Georgia" w:hAnsi="Georgia"/>
          <w:b/>
          <w:i w:val="0"/>
          <w:color w:val="1E3A5F"/>
          <w:sz w:val="32"/>
        </w:rPr>
        <w:t>HOSPITAL GENERAL PUYO</w:t>
      </w:r>
    </w:p>
    <w:p>
      <w:pPr>
        <w:spacing w:before="0" w:after="40" w:line="276" w:lineRule="auto"/>
        <w:jc w:val="center"/>
      </w:pPr>
      <w:r>
        <w:rPr>
          <w:rFonts w:ascii="Georgia" w:hAnsi="Georgia"/>
          <w:b/>
          <w:i w:val="0"/>
          <w:color w:val="2A6F6F"/>
          <w:sz w:val="24"/>
        </w:rPr>
        <w:t>PROTOCOLO INSTITUCIONAL</w:t>
      </w:r>
    </w:p>
    <w:p>
      <w:pPr>
        <w:spacing w:before="0" w:after="160" w:line="276" w:lineRule="auto"/>
        <w:jc w:val="center"/>
      </w:pPr>
      <w:r>
        <w:rPr>
          <w:rFonts w:ascii="Georgia" w:hAnsi="Georgia"/>
          <w:b/>
          <w:i w:val="0"/>
          <w:color w:val="1A2330"/>
          <w:sz w:val="36"/>
        </w:rPr>
        <w:t>Pérdida, Extravío o Deterioro</w:t>
        <w:br/>
        <w:t>de Historia Clínica</w:t>
      </w:r>
    </w:p>
    <w:p>
      <w:pPr>
        <w:spacing w:before="0" w:after="120"/>
        <w:pBdr>
          <w:bottom w:val="single" w:sz="12" w:space="1" w:color="C5D4DC"/>
        </w:pBdr>
      </w:pPr>
    </w:p>
    <w:p>
      <w:pPr>
        <w:spacing w:before="0" w:after="40" w:line="276" w:lineRule="auto"/>
        <w:jc w:val="center"/>
      </w:pPr>
      <w:r>
        <w:rPr>
          <w:rFonts w:ascii="Calibri" w:hAnsi="Calibri"/>
          <w:b w:val="0"/>
          <w:i w:val="0"/>
          <w:color w:val="4A5568"/>
          <w:sz w:val="20"/>
        </w:rPr>
        <w:t>Código: PROT-HC-001     Versión: 1.0     Fecha: 22 de julio de 2026</w:t>
      </w:r>
    </w:p>
    <w:p>
      <w:pPr>
        <w:spacing w:before="0" w:after="200" w:line="276" w:lineRule="auto"/>
        <w:jc w:val="center"/>
      </w:pPr>
      <w:r>
        <w:rPr>
          <w:rFonts w:ascii="Calibri" w:hAnsi="Calibri"/>
          <w:b w:val="0"/>
          <w:i/>
          <w:color w:val="2A6F6F"/>
          <w:sz w:val="18"/>
        </w:rPr>
        <w:t>Documento formal destinado a las autoridades del Hospital General Puyo</w:t>
      </w:r>
    </w:p>
    <w:p>
      <w:pPr>
        <w:spacing w:before="0" w:after="120" w:line="276" w:lineRule="auto"/>
        <w:jc w:val="center"/>
      </w:pPr>
      <w:r>
        <w:rPr>
          <w:rFonts w:ascii="Calibri" w:hAnsi="Calibri"/>
          <w:b/>
          <w:i w:val="0"/>
          <w:color w:val="1E3A5F"/>
          <w:sz w:val="20"/>
        </w:rPr>
        <w:t>CONTROL DE ELABORACIÓN, REVISIÓN Y APROBACIÓN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FFFFFF" w:val="clear"/>
            <w:tcBorders>
              <w:top w:val="single" w:sz="5" w:space="0" w:color="1E3A5F"/>
              <w:left w:val="single" w:sz="5" w:space="0" w:color="1E3A5F"/>
              <w:bottom w:val="single" w:sz="5" w:space="0" w:color="1E3A5F"/>
              <w:right w:val="single" w:sz="5" w:space="0" w:color="1E3A5F"/>
            </w:tcBorders>
            <w:tcMar>
              <w:top w:w="5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ELABORADO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Tlgo. Andrés Romero</w:t>
              <w:br/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Firma: ________________</w:t>
              <w:br/>
              <w:t>Fecha: ____/____/________</w:t>
            </w:r>
          </w:p>
        </w:tc>
        <w:tc>
          <w:tcPr>
            <w:tcW w:type="dxa" w:w="3289"/>
            <w:shd w:fill="FFFFFF" w:val="clear"/>
            <w:tcBorders>
              <w:top w:val="single" w:sz="5" w:space="0" w:color="1E3A5F"/>
              <w:left w:val="single" w:sz="5" w:space="0" w:color="1E3A5F"/>
              <w:bottom w:val="single" w:sz="5" w:space="0" w:color="1E3A5F"/>
              <w:right w:val="single" w:sz="5" w:space="0" w:color="1E3A5F"/>
            </w:tcBorders>
            <w:tcMar>
              <w:top w:w="5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REVISADO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Dra. Stephany Tayupanda</w:t>
              <w:br/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Firma: ________________</w:t>
              <w:br/>
              <w:t>Fecha: ____/____/________</w:t>
            </w:r>
          </w:p>
        </w:tc>
        <w:tc>
          <w:tcPr>
            <w:tcW w:type="dxa" w:w="3289"/>
            <w:shd w:fill="FFFFFF" w:val="clear"/>
            <w:tcBorders>
              <w:top w:val="single" w:sz="5" w:space="0" w:color="1E3A5F"/>
              <w:left w:val="single" w:sz="5" w:space="0" w:color="1E3A5F"/>
              <w:bottom w:val="single" w:sz="5" w:space="0" w:color="1E3A5F"/>
              <w:right w:val="single" w:sz="5" w:space="0" w:color="1E3A5F"/>
            </w:tcBorders>
            <w:tcMar>
              <w:top w:w="5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APROBADO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Dr. Gabriel García</w:t>
              <w:br/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Firma: ________________</w:t>
              <w:br/>
              <w:t>Fecha: ____/____/________</w:t>
            </w:r>
          </w:p>
        </w:tc>
      </w:tr>
    </w:tbl>
    <w:p>
      <w:pPr>
        <w:spacing w:before="0" w:after="160" w:line="276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CONTACTO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0991976454</w:t>
            </w:r>
          </w:p>
        </w:tc>
        <w:tc>
          <w:tcPr>
            <w:tcW w:type="dxa" w:w="3289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CLASIFICACIÓN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CONFIDENCIAL</w:t>
            </w:r>
          </w:p>
        </w:tc>
        <w:tc>
          <w:tcPr>
            <w:tcW w:type="dxa" w:w="3289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ÁMBITO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Hospital General Puyo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1.  OBJETO Y FINALIDAD</w:t>
            </w:r>
          </w:p>
        </w:tc>
      </w:tr>
    </w:tbl>
    <w:p>
      <w:pPr>
        <w:spacing w:after="120"/>
      </w:pPr>
    </w:p>
    <w:p>
      <w:pPr>
        <w:spacing w:before="0" w:after="160" w:line="276" w:lineRule="auto"/>
        <w:jc w:val="both"/>
      </w:pPr>
      <w:r>
        <w:rPr>
          <w:rFonts w:ascii="Calibri" w:hAnsi="Calibri"/>
          <w:b w:val="0"/>
          <w:i w:val="0"/>
          <w:color w:val="4A5568"/>
          <w:sz w:val="22"/>
        </w:rPr>
        <w:t>El presente Protocolo establece el procedimiento formal que deberá observarse en el Hospital General Puyo ante la pérdida, extravío, deterioro, destrucción parcial o total, o indisponibilidad de la historia clínica, en cualquier soporte físico, digital o electrónico, a fin de salvaguardar la confidencialidad, integridad y disponibilidad de la información de salud, garantizar la continuidad de la atención y asegurar la recuperación o reconstrucción documental conforme a la normativa vigente.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2.  BASE NORMATIVA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Instrumento jurídico</w:t>
            </w:r>
          </w:p>
        </w:tc>
        <w:tc>
          <w:tcPr>
            <w:tcW w:type="dxa" w:w="493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Referencia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Constitución de la República del Ecuador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Arts. 66 nums. 11 y 19, 92 y 362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Ley Orgánica de Salud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Art. 7 lit. f)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Ley de Derechos y Amparo al Paciente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Art. 4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Acuerdo Ministerial MSP 00115-2021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Arts. 13 al 19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Acuerdo Ministerial MSP 00005216-A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Arts. 8, 11, 14–20 y 28–37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Acuerdo Ministerial MSP 4934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Código único de Historia Clínica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Acuerdo Ministerial MSP 0457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Manual de conservación de HCU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Normas de Control Interno CGE 410-11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Plan de contingencias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Código Orgánico Integral Penal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Art. 179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3.  ÁMBITO DE APLICACIÓN</w:t>
            </w:r>
          </w:p>
        </w:tc>
      </w:tr>
    </w:tbl>
    <w:p>
      <w:pPr>
        <w:spacing w:after="120"/>
      </w:pPr>
    </w:p>
    <w:p>
      <w:pPr>
        <w:spacing w:before="0" w:after="160" w:line="276" w:lineRule="auto"/>
        <w:jc w:val="both"/>
      </w:pPr>
      <w:r>
        <w:rPr>
          <w:rFonts w:ascii="Calibri" w:hAnsi="Calibri"/>
          <w:b w:val="0"/>
          <w:i w:val="0"/>
          <w:color w:val="4A5568"/>
          <w:sz w:val="22"/>
        </w:rPr>
        <w:t>Las disposiciones de este Protocolo son de cumplimiento obligatorio para todo el personal de la cadena sanitaria y el personal administrativo del Hospital General Puyo que custodie, maneje, traslade, archive o tenga acceso a historias clínicas y demás documentación clínica.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4.  DEFINICIONES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Término</w:t>
            </w:r>
          </w:p>
        </w:tc>
        <w:tc>
          <w:tcPr>
            <w:tcW w:type="dxa" w:w="493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Historia clínica única (HCU)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Documento técnico-legal obligatorio que registra de manera sistemática la atención de salud del usuario.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Pérdida o extravío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Imposibilidad de localizar la HCU en el archivo o en el servicio donde deba encontrarse.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Deterioro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Daño físico o lógico que impide el uso seguro o legible de la HCU.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Archivo activo / pasivo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Activo: atención en los últimos cinco años. Pasivo: sin atención por más de cinco años.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Archivo recuperado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Expedientes rescatados tras un evento, ordenados de forma correlativa.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Custodia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Responsabilidad institucional de conservar la HCU; durante la prestación, también del personal de la cadena sanitaria.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5.  RESPONSABILIDADES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Responsable</w:t>
            </w:r>
          </w:p>
        </w:tc>
        <w:tc>
          <w:tcPr>
            <w:tcW w:type="dxa" w:w="493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Función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Dirección del Hospital General Puyo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Autoriza el ingreso al archivo, aprueba actas e informe final.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Servicio de Admisiones / Archivo clínico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Detecta, inventaria, recupera, reapertura y controla préstamos.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Responsable del servicio clínico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Custodia durante la atención y participa en recuperación/reconstrucción.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Gestión de Calidad y Seguridad del Paciente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Activa el plan, verifica el proceso y suscribe las actas pertinentes.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Unidad de Tecnología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Contingencia informática, respaldos y restauración, cuando corresponda.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Cadena sanitaria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Reinicia el registro clínico y preserva la confidencialidad.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6.  CLASIFICACIÓN DEL EVENTO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Código</w:t>
            </w:r>
          </w:p>
        </w:tc>
        <w:tc>
          <w:tcPr>
            <w:tcW w:type="dxa" w:w="3289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3289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289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E1</w:t>
            </w:r>
          </w:p>
        </w:tc>
        <w:tc>
          <w:tcPr>
            <w:tcW w:type="dxa" w:w="3289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Extravío unitario</w:t>
            </w:r>
          </w:p>
        </w:tc>
        <w:tc>
          <w:tcPr>
            <w:tcW w:type="dxa" w:w="3289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Una o pocas HCU no localizadas.</w:t>
            </w:r>
          </w:p>
        </w:tc>
      </w:tr>
      <w:tr>
        <w:tc>
          <w:tcPr>
            <w:tcW w:type="dxa" w:w="3289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E2</w:t>
            </w:r>
          </w:p>
        </w:tc>
        <w:tc>
          <w:tcPr>
            <w:tcW w:type="dxa" w:w="3289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Deterioro parcial</w:t>
            </w:r>
          </w:p>
        </w:tc>
        <w:tc>
          <w:tcPr>
            <w:tcW w:type="dxa" w:w="3289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Expedientes dañados o parcialmente ilegibles.</w:t>
            </w:r>
          </w:p>
        </w:tc>
      </w:tr>
      <w:tr>
        <w:tc>
          <w:tcPr>
            <w:tcW w:type="dxa" w:w="3289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E3</w:t>
            </w:r>
          </w:p>
        </w:tc>
        <w:tc>
          <w:tcPr>
            <w:tcW w:type="dxa" w:w="3289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Pérdida parcial del archivo</w:t>
            </w:r>
          </w:p>
        </w:tc>
        <w:tc>
          <w:tcPr>
            <w:tcW w:type="dxa" w:w="3289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Parte del archivo activo o pasivo afectado.</w:t>
            </w:r>
          </w:p>
        </w:tc>
      </w:tr>
      <w:tr>
        <w:tc>
          <w:tcPr>
            <w:tcW w:type="dxa" w:w="3289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E4</w:t>
            </w:r>
          </w:p>
        </w:tc>
        <w:tc>
          <w:tcPr>
            <w:tcW w:type="dxa" w:w="3289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Pérdida total del archivo</w:t>
            </w:r>
          </w:p>
        </w:tc>
        <w:tc>
          <w:tcPr>
            <w:tcW w:type="dxa" w:w="3289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Archivo eliminado en su totalidad.</w:t>
            </w:r>
          </w:p>
        </w:tc>
      </w:tr>
      <w:tr>
        <w:tc>
          <w:tcPr>
            <w:tcW w:type="dxa" w:w="3289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E5</w:t>
            </w:r>
          </w:p>
        </w:tc>
        <w:tc>
          <w:tcPr>
            <w:tcW w:type="dxa" w:w="3289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Indisponibilidad electrónica</w:t>
            </w:r>
          </w:p>
        </w:tc>
        <w:tc>
          <w:tcPr>
            <w:tcW w:type="dxa" w:w="3289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Falla de sistema, corrupción o ataque informático.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7.  PROCEDIMIENTO OPERATIVO</w:t>
            </w:r>
          </w:p>
        </w:tc>
      </w:tr>
    </w:tbl>
    <w:p>
      <w:pPr>
        <w:spacing w:after="120"/>
      </w:pPr>
    </w:p>
    <w:p>
      <w:pPr>
        <w:spacing w:before="0" w:after="80" w:line="276" w:lineRule="auto"/>
        <w:jc w:val="both"/>
      </w:pPr>
      <w:r>
        <w:rPr>
          <w:rFonts w:ascii="Calibri" w:hAnsi="Calibri"/>
          <w:b w:val="0"/>
          <w:i w:val="0"/>
          <w:color w:val="4A5568"/>
          <w:sz w:val="22"/>
        </w:rPr>
        <w:t>Una vez notificada la pérdida, extravío o deterioro de una historia clínica, el personal del Hospital General Puyo deberá observar el siguiente procedimiento:</w:t>
      </w:r>
    </w:p>
    <w:p>
      <w:pPr>
        <w:spacing w:before="0" w:after="80" w:line="276" w:lineRule="auto"/>
        <w:ind w:left="170"/>
      </w:pPr>
      <w:r>
        <w:rPr>
          <w:rFonts w:ascii="Calibri" w:hAnsi="Calibri"/>
          <w:b/>
          <w:i w:val="0"/>
          <w:color w:val="2A6F6F"/>
          <w:sz w:val="22"/>
        </w:rPr>
        <w:t xml:space="preserve">1.  </w:t>
      </w:r>
      <w:r>
        <w:rPr>
          <w:rFonts w:ascii="Calibri" w:hAnsi="Calibri"/>
          <w:b w:val="0"/>
          <w:i w:val="0"/>
          <w:color w:val="4A5568"/>
          <w:sz w:val="22"/>
        </w:rPr>
        <w:t>Detección y contención inmediata: comunicar a Admisiones/Archivo y a la jefatura; completar el Acta 01; restringir el área y preservar evidencias (máximo 30 minutos).</w:t>
      </w:r>
    </w:p>
    <w:p>
      <w:pPr>
        <w:spacing w:before="0" w:after="80" w:line="276" w:lineRule="auto"/>
        <w:ind w:left="170"/>
      </w:pPr>
      <w:r>
        <w:rPr>
          <w:rFonts w:ascii="Calibri" w:hAnsi="Calibri"/>
          <w:b/>
          <w:i w:val="0"/>
          <w:color w:val="2A6F6F"/>
          <w:sz w:val="22"/>
        </w:rPr>
        <w:t xml:space="preserve">2.  </w:t>
      </w:r>
      <w:r>
        <w:rPr>
          <w:rFonts w:ascii="Calibri" w:hAnsi="Calibri"/>
          <w:b w:val="0"/>
          <w:i w:val="0"/>
          <w:color w:val="4A5568"/>
          <w:sz w:val="22"/>
        </w:rPr>
        <w:t>Activación del plan de contingencia: la Dirección o su delegado activa el plan; se convocan los Comités de Calidad y Seguridad del Paciente; se asigna el código INC-HC-AAAA-### y se clasifica el evento E1–E5 (máximo 2 horas).</w:t>
      </w:r>
    </w:p>
    <w:p>
      <w:pPr>
        <w:spacing w:before="0" w:after="80" w:line="276" w:lineRule="auto"/>
        <w:ind w:left="170"/>
      </w:pPr>
      <w:r>
        <w:rPr>
          <w:rFonts w:ascii="Calibri" w:hAnsi="Calibri"/>
          <w:b/>
          <w:i w:val="0"/>
          <w:color w:val="2A6F6F"/>
          <w:sz w:val="22"/>
        </w:rPr>
        <w:t xml:space="preserve">3.  </w:t>
      </w:r>
      <w:r>
        <w:rPr>
          <w:rFonts w:ascii="Calibri" w:hAnsi="Calibri"/>
          <w:b w:val="0"/>
          <w:i w:val="0"/>
          <w:color w:val="4A5568"/>
          <w:sz w:val="22"/>
        </w:rPr>
        <w:t>Diagnóstico e inventario: con autorización de ingreso al archivo, se evalúa el estado de los expedientes y se completa el Acta 02; se conforma el archivo recuperado.</w:t>
      </w:r>
    </w:p>
    <w:p>
      <w:pPr>
        <w:spacing w:before="0" w:after="80" w:line="276" w:lineRule="auto"/>
        <w:ind w:left="170"/>
      </w:pPr>
      <w:r>
        <w:rPr>
          <w:rFonts w:ascii="Calibri" w:hAnsi="Calibri"/>
          <w:b/>
          <w:i w:val="0"/>
          <w:color w:val="2A6F6F"/>
          <w:sz w:val="22"/>
        </w:rPr>
        <w:t xml:space="preserve">4.  </w:t>
      </w:r>
      <w:r>
        <w:rPr>
          <w:rFonts w:ascii="Calibri" w:hAnsi="Calibri"/>
          <w:b w:val="0"/>
          <w:i w:val="0"/>
          <w:color w:val="4A5568"/>
          <w:sz w:val="22"/>
        </w:rPr>
        <w:t>Continuidad asistencial: si existe paciente en atención, se utiliza el Anexo A o formularios oficiales para no interrumpir la prestación (Art. 15, Acuerdo 00115-2021).</w:t>
      </w:r>
    </w:p>
    <w:p>
      <w:pPr>
        <w:spacing w:before="0" w:after="80" w:line="276" w:lineRule="auto"/>
        <w:ind w:left="170"/>
      </w:pPr>
      <w:r>
        <w:rPr>
          <w:rFonts w:ascii="Calibri" w:hAnsi="Calibri"/>
          <w:b/>
          <w:i w:val="0"/>
          <w:color w:val="2A6F6F"/>
          <w:sz w:val="22"/>
        </w:rPr>
        <w:t xml:space="preserve">5.  </w:t>
      </w:r>
      <w:r>
        <w:rPr>
          <w:rFonts w:ascii="Calibri" w:hAnsi="Calibri"/>
          <w:b w:val="0"/>
          <w:i w:val="0"/>
          <w:color w:val="4A5568"/>
          <w:sz w:val="22"/>
        </w:rPr>
        <w:t>Recuperación o reconstrucción: si la HCU se recupera, se suscribe el Acta 03; si no es recuperable, se reconstruye con datos verificables mediante el Acta 04.</w:t>
      </w:r>
    </w:p>
    <w:p>
      <w:pPr>
        <w:spacing w:before="0" w:after="80" w:line="276" w:lineRule="auto"/>
        <w:ind w:left="170"/>
      </w:pPr>
      <w:r>
        <w:rPr>
          <w:rFonts w:ascii="Calibri" w:hAnsi="Calibri"/>
          <w:b/>
          <w:i w:val="0"/>
          <w:color w:val="2A6F6F"/>
          <w:sz w:val="22"/>
        </w:rPr>
        <w:t xml:space="preserve">6.  </w:t>
      </w:r>
      <w:r>
        <w:rPr>
          <w:rFonts w:ascii="Calibri" w:hAnsi="Calibri"/>
          <w:b w:val="0"/>
          <w:i w:val="0"/>
          <w:color w:val="4A5568"/>
          <w:sz w:val="22"/>
        </w:rPr>
        <w:t>Notificación al usuario: cuando corresponda, se informa en entorno privado y se completa el Acta 05; la copia certificada, de solicitarse, se entrega en máximo 48 horas.</w:t>
      </w:r>
    </w:p>
    <w:p>
      <w:pPr>
        <w:spacing w:before="0" w:after="80" w:line="276" w:lineRule="auto"/>
        <w:ind w:left="170"/>
      </w:pPr>
      <w:r>
        <w:rPr>
          <w:rFonts w:ascii="Calibri" w:hAnsi="Calibri"/>
          <w:b/>
          <w:i w:val="0"/>
          <w:color w:val="2A6F6F"/>
          <w:sz w:val="22"/>
        </w:rPr>
        <w:t xml:space="preserve">7.  </w:t>
      </w:r>
      <w:r>
        <w:rPr>
          <w:rFonts w:ascii="Calibri" w:hAnsi="Calibri"/>
          <w:b w:val="0"/>
          <w:i w:val="0"/>
          <w:color w:val="4A5568"/>
          <w:sz w:val="22"/>
        </w:rPr>
        <w:t>Cierre: se elabora el Acta 06 con causa, alcance, medidas correctivas y responsabilidades; el expediente INC-HC se archiva en área restringida.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8.  TIEMPOS MÁXIMOS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Fase</w:t>
            </w:r>
          </w:p>
        </w:tc>
        <w:tc>
          <w:tcPr>
            <w:tcW w:type="dxa" w:w="493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Tiempo máximo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Contención y notificación interna (Acta 01)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30 minutos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Activación de comités y clasificación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2 horas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Contingencia asistencial (Anexo A)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Inmediata, si hay paciente en atención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Inventario / diagnóstico (Acta 02)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1 día hábil (o según magnitud)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Entrega de copia al usuario (Acta 05)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48 horas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Informe de cierre (Acta 06)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5 días hábiles desde la resolución operativa</w:t>
            </w:r>
          </w:p>
        </w:tc>
      </w:tr>
    </w:tbl>
    <w:p>
      <w:pPr>
        <w:spacing w:after="1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9.  FLUJO OPERATIVO TRAS LA NOTIFICACIÓN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  <w:jc w:val="center"/>
      </w:pPr>
      <w:r>
        <w:rPr>
          <w:rFonts w:ascii="Calibri" w:hAnsi="Calibri"/>
          <w:b w:val="0"/>
          <w:i/>
          <w:color w:val="4A5568"/>
          <w:sz w:val="20"/>
        </w:rPr>
        <w:t>El siguiente diagrama resume el recorrido obligatorio una vez notificada la pérdida de una historia clínica.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761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perdida_h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76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10.  ANEXOS Y ACTAS FORMATO OFICIAL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  <w:jc w:val="both"/>
      </w:pPr>
      <w:r>
        <w:rPr>
          <w:rFonts w:ascii="Calibri" w:hAnsi="Calibri"/>
          <w:b w:val="0"/>
          <w:i w:val="0"/>
          <w:color w:val="4A5568"/>
          <w:sz w:val="22"/>
        </w:rPr>
        <w:t>A continuación se incorporan, en formato visual de una página cada uno, los instrumentos operativos del presente Protocolo. Cada acta o anexo constituye un documento oficial del Hospital General Puyo y deberá suscribirse por los responsables respectivos.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Instrumento</w:t>
            </w:r>
          </w:p>
        </w:tc>
        <w:tc>
          <w:tcPr>
            <w:tcW w:type="dxa" w:w="493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0" w:type="dxa"/>
              <w:left w:w="55" w:type="dxa"/>
              <w:bottom w:w="40" w:type="dxa"/>
              <w:right w:w="5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Firmas principales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Acta 01 – Detección y notificación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Quien detecta · Jefatura del servicio · Admisiones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Acta 02 – Diagnóstico e inventario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Admisiones · Responsable del servicio · Calidad y Seguridad · Dirección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Acta 03 – Recuperación y restauración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Responsable del servicio · Admisiones · Calidad y Seguridad del Paciente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Acta 04 – Reconstrucción documental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Profesional · Admisiones · Calidad · Servicio · Dirección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Acta 05 – Notificación al usuario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Usuario · Funcionario · Admisiones · Vo.Bo. Calidad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Acta 06 – Informe de cierre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Admisiones · Calidad · Dirección</w:t>
            </w:r>
          </w:p>
        </w:tc>
      </w:tr>
      <w:tr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Anexo A – Contingencia asistencial</w:t>
            </w:r>
          </w:p>
        </w:tc>
        <w:tc>
          <w:tcPr>
            <w:tcW w:type="dxa" w:w="4933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Profesional · Admisiones · Calidad</w:t>
            </w:r>
          </w:p>
        </w:tc>
      </w:tr>
      <w:tr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Anexo B – Lista de verificación</w:t>
            </w:r>
          </w:p>
        </w:tc>
        <w:tc>
          <w:tcPr>
            <w:tcW w:type="dxa" w:w="4933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Admisiones · Calidad · Dirección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8858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A_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8858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88582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A_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8858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88582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A_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8858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88582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A_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8858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88582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A_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8858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88582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A_0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8858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88582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EXO_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8858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88582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EXO_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8858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11.  DISPOSICIONES FINALES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  <w:ind w:left="170"/>
      </w:pPr>
      <w:r>
        <w:rPr>
          <w:rFonts w:ascii="Calibri" w:hAnsi="Calibri"/>
          <w:b/>
          <w:i w:val="0"/>
          <w:color w:val="2A6F6F"/>
          <w:sz w:val="22"/>
        </w:rPr>
        <w:t xml:space="preserve">1.  </w:t>
      </w:r>
      <w:r>
        <w:rPr>
          <w:rFonts w:ascii="Calibri" w:hAnsi="Calibri"/>
          <w:b w:val="0"/>
          <w:i w:val="0"/>
          <w:color w:val="4A5568"/>
          <w:sz w:val="22"/>
        </w:rPr>
        <w:t>El presente Protocolo entra en vigencia a partir de su aprobación por la Dirección del Hospital General Puyo.</w:t>
      </w:r>
    </w:p>
    <w:p>
      <w:pPr>
        <w:spacing w:before="0" w:after="80" w:line="276" w:lineRule="auto"/>
        <w:ind w:left="170"/>
      </w:pPr>
      <w:r>
        <w:rPr>
          <w:rFonts w:ascii="Calibri" w:hAnsi="Calibri"/>
          <w:b/>
          <w:i w:val="0"/>
          <w:color w:val="2A6F6F"/>
          <w:sz w:val="22"/>
        </w:rPr>
        <w:t xml:space="preserve">2.  </w:t>
      </w:r>
      <w:r>
        <w:rPr>
          <w:rFonts w:ascii="Calibri" w:hAnsi="Calibri"/>
          <w:b w:val="0"/>
          <w:i w:val="0"/>
          <w:color w:val="4A5568"/>
          <w:sz w:val="22"/>
        </w:rPr>
        <w:t>La Gestión de Calidad y Seguridad del Paciente, en coordinación con Admisiones, socializará el Protocolo y verificará su aplicación.</w:t>
      </w:r>
    </w:p>
    <w:p>
      <w:pPr>
        <w:spacing w:before="0" w:after="80" w:line="276" w:lineRule="auto"/>
        <w:ind w:left="170"/>
      </w:pPr>
      <w:r>
        <w:rPr>
          <w:rFonts w:ascii="Calibri" w:hAnsi="Calibri"/>
          <w:b/>
          <w:i w:val="0"/>
          <w:color w:val="2A6F6F"/>
          <w:sz w:val="22"/>
        </w:rPr>
        <w:t xml:space="preserve">3.  </w:t>
      </w:r>
      <w:r>
        <w:rPr>
          <w:rFonts w:ascii="Calibri" w:hAnsi="Calibri"/>
          <w:b w:val="0"/>
          <w:i w:val="0"/>
          <w:color w:val="4A5568"/>
          <w:sz w:val="22"/>
        </w:rPr>
        <w:t>Cualquier situación no prevista se resolverá conforme a la normativa del Ministerio de Salud Pública y a las disposiciones de la máxima autoridad del establecimiento.</w:t>
      </w:r>
    </w:p>
    <w:p>
      <w:pPr>
        <w:spacing w:before="0" w:after="80" w:line="276" w:lineRule="auto"/>
        <w:ind w:left="170"/>
      </w:pPr>
      <w:r>
        <w:rPr>
          <w:rFonts w:ascii="Calibri" w:hAnsi="Calibri"/>
          <w:b/>
          <w:i w:val="0"/>
          <w:color w:val="2A6F6F"/>
          <w:sz w:val="22"/>
        </w:rPr>
        <w:t xml:space="preserve">4.  </w:t>
      </w:r>
      <w:r>
        <w:rPr>
          <w:rFonts w:ascii="Calibri" w:hAnsi="Calibri"/>
          <w:b w:val="0"/>
          <w:i w:val="0"/>
          <w:color w:val="4A5568"/>
          <w:sz w:val="22"/>
        </w:rPr>
        <w:t>Los formatos visuales de las Actas 01 a 06 y de los Anexos A y B forman parte integrante de este Protocolo.</w:t>
      </w:r>
    </w:p>
    <w:p>
      <w:pPr>
        <w:spacing w:before="0" w:after="320" w:line="276" w:lineRule="auto"/>
      </w:pPr>
    </w:p>
    <w:p>
      <w:pPr>
        <w:spacing w:before="0" w:after="240" w:line="276" w:lineRule="auto"/>
        <w:jc w:val="center"/>
      </w:pPr>
      <w:r>
        <w:rPr>
          <w:rFonts w:ascii="Calibri" w:hAnsi="Calibri"/>
          <w:b w:val="0"/>
          <w:i w:val="0"/>
          <w:color w:val="4A5568"/>
          <w:sz w:val="22"/>
        </w:rPr>
        <w:t>En fe de lo cual suscriben el presente instrumento: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F7F9FA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60" w:type="dxa"/>
              <w:left w:w="35" w:type="dxa"/>
              <w:bottom w:w="50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ELABORADO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Tlgo. Andrés Romero</w:t>
              <w:br/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________________</w:t>
              <w:br/>
              <w:t>Firma</w:t>
              <w:br/>
              <w:br/>
              <w:t>____/____/________</w:t>
              <w:br/>
              <w:t>Fecha</w:t>
            </w:r>
          </w:p>
        </w:tc>
        <w:tc>
          <w:tcPr>
            <w:tcW w:type="dxa" w:w="3289"/>
            <w:shd w:fill="F7F9FA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60" w:type="dxa"/>
              <w:left w:w="35" w:type="dxa"/>
              <w:bottom w:w="50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REVISADO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Dra. Stephany Tayupanda</w:t>
              <w:br/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________________</w:t>
              <w:br/>
              <w:t>Firma</w:t>
              <w:br/>
              <w:br/>
              <w:t>____/____/________</w:t>
              <w:br/>
              <w:t>Fecha</w:t>
            </w:r>
          </w:p>
        </w:tc>
        <w:tc>
          <w:tcPr>
            <w:tcW w:type="dxa" w:w="3289"/>
            <w:shd w:fill="F7F9FA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60" w:type="dxa"/>
              <w:left w:w="35" w:type="dxa"/>
              <w:bottom w:w="50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APROBADO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Dr. Gabriel García</w:t>
              <w:br/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________________</w:t>
              <w:br/>
              <w:t>Firma</w:t>
              <w:br/>
              <w:br/>
              <w:t>____/____/________</w:t>
              <w:br/>
              <w:t>Fecha</w:t>
            </w:r>
          </w:p>
        </w:tc>
      </w:tr>
    </w:tbl>
    <w:p>
      <w:pPr>
        <w:spacing w:before="280" w:after="40" w:line="276" w:lineRule="auto"/>
        <w:jc w:val="center"/>
      </w:pPr>
      <w:r>
        <w:rPr>
          <w:rFonts w:ascii="Calibri" w:hAnsi="Calibri"/>
          <w:b/>
          <w:i w:val="0"/>
          <w:color w:val="2A6F6F"/>
          <w:sz w:val="18"/>
        </w:rPr>
        <w:t>Hospital General Puyo — Ministerio de Salud Pública del Ecuador</w:t>
      </w:r>
    </w:p>
    <w:p>
      <w:pPr>
        <w:spacing w:before="0" w:after="0" w:line="276" w:lineRule="auto"/>
        <w:jc w:val="center"/>
      </w:pPr>
      <w:r>
        <w:rPr>
          <w:rFonts w:ascii="Calibri" w:hAnsi="Calibri"/>
          <w:b w:val="0"/>
          <w:i w:val="0"/>
          <w:color w:val="4A5568"/>
          <w:sz w:val="18"/>
        </w:rPr>
        <w:t>Contacto institucional: 0991976454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4A5568"/>
        <w:sz w:val="16"/>
      </w:rPr>
      <w:t xml:space="preserve">Ministerio de Salud Pública  ·  Contacto: 0991976454  ·  Página </w:t>
    </w:r>
    <w:r>
      <w:rPr>
        <w:rFonts w:ascii="Calibri" w:hAnsi="Calibri"/>
        <w:b w:val="0"/>
        <w:i w:val="0"/>
        <w:color w:val="4A5568"/>
        <w:sz w:val="16"/>
      </w:rPr>
      <w:fldChar w:fldCharType="begin"/>
    </w:r>
    <w:r>
      <w:rPr>
        <w:rFonts w:ascii="Calibri" w:hAnsi="Calibri"/>
        <w:b w:val="0"/>
        <w:i w:val="0"/>
        <w:color w:val="4A5568"/>
        <w:sz w:val="16"/>
      </w:rPr>
      <w:instrText xml:space="preserve"> PAGE </w:instrText>
    </w:r>
    <w:r>
      <w:rPr>
        <w:rFonts w:ascii="Calibri" w:hAnsi="Calibri"/>
        <w:b w:val="0"/>
        <w:i w:val="0"/>
        <w:color w:val="4A5568"/>
        <w:sz w:val="16"/>
      </w:rPr>
      <w:fldChar w:fldCharType="end"/>
    </w:r>
    <w:r>
      <w:rPr>
        <w:rFonts w:ascii="Calibri" w:hAnsi="Calibri"/>
        <w:b w:val="0"/>
        <w:i w:val="0"/>
        <w:color w:val="4A5568"/>
        <w:sz w:val="16"/>
      </w:rPr>
      <w:t xml:space="preserve"> de </w:t>
    </w:r>
    <w:r>
      <w:rPr>
        <w:rFonts w:ascii="Calibri" w:hAnsi="Calibri"/>
        <w:b w:val="0"/>
        <w:i w:val="0"/>
        <w:color w:val="4A5568"/>
        <w:sz w:val="16"/>
      </w:rPr>
      <w:fldChar w:fldCharType="begin"/>
    </w:r>
    <w:r>
      <w:rPr>
        <w:rFonts w:ascii="Calibri" w:hAnsi="Calibri"/>
        <w:b w:val="0"/>
        <w:i w:val="0"/>
        <w:color w:val="4A5568"/>
        <w:sz w:val="16"/>
      </w:rPr>
      <w:instrText xml:space="preserve"> NUMPAGES </w:instrText>
    </w:r>
    <w:r>
      <w:rPr>
        <w:rFonts w:ascii="Calibri" w:hAnsi="Calibri"/>
        <w:b w:val="0"/>
        <w:i w:val="0"/>
        <w:color w:val="4A5568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2" w:color="C5D4DC"/>
      </w:pBdr>
    </w:pPr>
    <w:r>
      <w:rPr>
        <w:rFonts w:ascii="Calibri" w:hAnsi="Calibri"/>
        <w:b w:val="0"/>
        <w:i w:val="0"/>
        <w:color w:val="2A6F6F"/>
        <w:sz w:val="16"/>
      </w:rPr>
      <w:t>PROT-HC-001  ·  Hospital General Puyo  ·  CONFIDENCIAL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