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FFFFF" w:val="clear"/>
            <w:tcBorders>
              <w:top w:val="single" w:sz="5" w:space="0" w:color="C5D4DC"/>
              <w:left w:val="single" w:sz="5" w:space="0" w:color="C5D4DC"/>
              <w:bottom w:val="single" w:sz="5" w:space="0" w:color="C5D4DC"/>
              <w:right w:val="single" w:sz="5" w:space="0" w:color="C5D4DC"/>
            </w:tcBorders>
            <w:tcMar>
              <w:top w:w="25" w:type="dxa"/>
              <w:left w:w="35" w:type="dxa"/>
              <w:bottom w:w="20" w:type="dxa"/>
              <w:right w:w="35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60000" cy="9265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926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4A5568"/>
                <w:sz w:val="16"/>
              </w:rPr>
              <w:t>MINISTERIO DE SALUD PÚBLICA DEL ECUADOR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5D402" w:val="clear"/>
            <w:tcBorders>
              <w:top w:val="single" w:sz="2" w:space="0" w:color="F5D402"/>
              <w:left w:val="single" w:sz="2" w:space="0" w:color="F5D402"/>
              <w:bottom w:val="single" w:sz="2" w:space="0" w:color="F5D402"/>
              <w:right w:val="single" w:sz="2" w:space="0" w:color="F5D402"/>
            </w:tcBorders>
            <w:tcMar>
              <w:top w:w="5" w:type="dxa"/>
              <w:left w:w="0" w:type="dxa"/>
              <w:bottom w:w="5" w:type="dxa"/>
              <w:right w:w="0" w:type="dxa"/>
            </w:tcMar>
          </w:tcPr>
          <w:p>
            <w:r/>
          </w:p>
        </w:tc>
        <w:tc>
          <w:tcPr>
            <w:tcW w:type="dxa" w:w="3513"/>
            <w:shd w:fill="191497" w:val="clear"/>
            <w:tcBorders>
              <w:top w:val="single" w:sz="2" w:space="0" w:color="191497"/>
              <w:left w:val="single" w:sz="2" w:space="0" w:color="191497"/>
              <w:bottom w:val="single" w:sz="2" w:space="0" w:color="191497"/>
              <w:right w:val="single" w:sz="2" w:space="0" w:color="191497"/>
            </w:tcBorders>
            <w:tcMar>
              <w:top w:w="5" w:type="dxa"/>
              <w:left w:w="0" w:type="dxa"/>
              <w:bottom w:w="5" w:type="dxa"/>
              <w:right w:w="0" w:type="dxa"/>
            </w:tcMar>
          </w:tcPr>
          <w:p>
            <w:r/>
          </w:p>
        </w:tc>
        <w:tc>
          <w:tcPr>
            <w:tcW w:type="dxa" w:w="3513"/>
            <w:shd w:fill="D61A0C" w:val="clear"/>
            <w:tcBorders>
              <w:top w:val="single" w:sz="2" w:space="0" w:color="D61A0C"/>
              <w:left w:val="single" w:sz="2" w:space="0" w:color="D61A0C"/>
              <w:bottom w:val="single" w:sz="2" w:space="0" w:color="D61A0C"/>
              <w:right w:val="single" w:sz="2" w:space="0" w:color="D61A0C"/>
            </w:tcBorders>
            <w:tcMar>
              <w:top w:w="5" w:type="dxa"/>
              <w:left w:w="0" w:type="dxa"/>
              <w:bottom w:w="5" w:type="dxa"/>
              <w:right w:w="0" w:type="dxa"/>
            </w:tcMar>
          </w:tcPr>
          <w:p>
            <w:r/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/>
          <w:b/>
          <w:i w:val="0"/>
          <w:color w:val="1E3A5F"/>
          <w:sz w:val="28"/>
        </w:rPr>
        <w:t>HOSPITAL GENERAL PUYO</w:t>
      </w:r>
    </w:p>
    <w:p>
      <w:pPr>
        <w:spacing w:before="0" w:after="40" w:line="259" w:lineRule="auto"/>
        <w:jc w:val="center"/>
      </w:pPr>
      <w:r>
        <w:rPr>
          <w:rFonts w:ascii="Georgia" w:hAnsi="Georgia"/>
          <w:b/>
          <w:i w:val="0"/>
          <w:color w:val="2A6F6F"/>
          <w:sz w:val="26"/>
        </w:rPr>
        <w:t>MANUAL DE USO DE ACTAS Y ANEXOS</w:t>
      </w:r>
    </w:p>
    <w:p>
      <w:pPr>
        <w:spacing w:before="0" w:after="80" w:line="259" w:lineRule="auto"/>
        <w:jc w:val="center"/>
      </w:pPr>
      <w:r>
        <w:rPr>
          <w:rFonts w:ascii="Calibri" w:hAnsi="Calibri"/>
          <w:b/>
          <w:i w:val="0"/>
          <w:color w:val="1A2330"/>
          <w:sz w:val="22"/>
        </w:rPr>
        <w:t>Protocolo de Pérdida de Historia Clínica — PROT-HC-001</w:t>
      </w:r>
    </w:p>
    <w:p>
      <w:pPr>
        <w:spacing w:before="0" w:after="80"/>
        <w:pBdr>
          <w:bottom w:val="single" w:sz="8" w:space="1" w:color="C5D4DC"/>
        </w:pBdr>
      </w:pPr>
    </w:p>
    <w:p>
      <w:pPr>
        <w:spacing w:before="0" w:after="80" w:line="259" w:lineRule="auto"/>
        <w:jc w:val="center"/>
      </w:pPr>
      <w:r>
        <w:rPr>
          <w:rFonts w:ascii="Calibri" w:hAnsi="Calibri"/>
          <w:b w:val="0"/>
          <w:i w:val="0"/>
          <w:color w:val="4A5568"/>
          <w:sz w:val="18"/>
        </w:rPr>
        <w:t>Código: PROT-HC-001-MU  ·  Versión 1.0  ·  22/07/2026  ·  CONFIDENCIAL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CONTACTO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0991976454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ÁMBITO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Hospital General Puyo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BASE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PROT-HC-001</w:t>
            </w:r>
          </w:p>
        </w:tc>
      </w:tr>
    </w:tbl>
    <w:p>
      <w:pPr>
        <w:spacing w:before="120" w:after="60" w:line="259" w:lineRule="auto"/>
        <w:jc w:val="center"/>
      </w:pPr>
      <w:r>
        <w:rPr>
          <w:rFonts w:ascii="Calibri" w:hAnsi="Calibri"/>
          <w:b/>
          <w:i w:val="0"/>
          <w:color w:val="1E3A5F"/>
          <w:sz w:val="18"/>
        </w:rPr>
        <w:t>CONTROL DE APROBACIÓN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FFFF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5" w:type="dxa"/>
              <w:left w:w="25" w:type="dxa"/>
              <w:bottom w:w="3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Tlgo. Andrés Romero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  Fecha: ___/___/______</w:t>
            </w:r>
          </w:p>
        </w:tc>
        <w:tc>
          <w:tcPr>
            <w:tcW w:type="dxa" w:w="3513"/>
            <w:shd w:fill="FFFFF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5" w:type="dxa"/>
              <w:left w:w="25" w:type="dxa"/>
              <w:bottom w:w="3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Dra. Stephany Tayupanda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  Fecha: ___/___/______</w:t>
            </w:r>
          </w:p>
        </w:tc>
        <w:tc>
          <w:tcPr>
            <w:tcW w:type="dxa" w:w="3513"/>
            <w:shd w:fill="FFFFF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5" w:type="dxa"/>
              <w:left w:w="25" w:type="dxa"/>
              <w:bottom w:w="3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Dr. Gabriel García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  Fecha: ___/___/______</w:t>
            </w:r>
          </w:p>
        </w:tc>
      </w:tr>
    </w:tbl>
    <w:p>
      <w:pPr>
        <w:spacing w:before="0" w:after="8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1. OBJETIVO</w:t>
            </w:r>
          </w:p>
        </w:tc>
      </w:tr>
    </w:tbl>
    <w:p>
      <w:pPr>
        <w:spacing w:before="0" w:after="80" w:line="259" w:lineRule="auto"/>
        <w:jc w:val="both"/>
      </w:pPr>
      <w:r>
        <w:rPr>
          <w:rFonts w:ascii="Calibri" w:hAnsi="Calibri"/>
          <w:b w:val="0"/>
          <w:i w:val="0"/>
          <w:color w:val="4A5568"/>
          <w:sz w:val="20"/>
        </w:rPr>
        <w:t>Este Manual indica cuándo usar, cómo completar y quién firma las Actas 01–06 y los Anexos A–B del Protocolo PROT-HC-001 en el Hospital General Puyo. Incluye gráficas de flujo, matriz de firmas y señalética E1–E5.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2. ¿CUÁNDO USAR CADA ACTA O ANEXO?</w:t>
            </w:r>
          </w:p>
        </w:tc>
      </w:tr>
    </w:tbl>
    <w:p>
      <w:pPr>
        <w:spacing w:before="0" w:after="40" w:line="259" w:lineRule="auto"/>
        <w:jc w:val="center"/>
      </w:pPr>
      <w:r>
        <w:rPr>
          <w:rFonts w:ascii="Calibri" w:hAnsi="Calibri"/>
          <w:b w:val="0"/>
          <w:i w:val="0"/>
          <w:color w:val="4A5568"/>
          <w:sz w:val="20"/>
        </w:rPr>
        <w:t>Siga las flechas en orden. Cada casilla indica el documento y la acción.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cuando_us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 xml:space="preserve">SEÑAL CLAVE  ·  </w:t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01 siempre primero → ACTA 02 inventario → SÍ: ACTA 03 / NO: ACTA 04 → ACTA 05 (si aplica) → ACTA 06. ANEXO A en paralelo si hay paciente en atención.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3. ¿QUIÉN FIRMA CADA DOCUMENTO?</w:t>
            </w:r>
          </w:p>
        </w:tc>
      </w:tr>
    </w:tbl>
    <w:p>
      <w:pPr>
        <w:spacing w:before="0" w:after="40" w:line="259" w:lineRule="auto"/>
        <w:jc w:val="center"/>
      </w:pPr>
      <w:r>
        <w:rPr>
          <w:rFonts w:ascii="Calibri" w:hAnsi="Calibri"/>
          <w:b w:val="0"/>
          <w:i w:val="0"/>
          <w:color w:val="4A5568"/>
          <w:sz w:val="20"/>
        </w:rPr>
        <w:t>Matriz de firmas obligatorias. ✓ = firma requerida.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53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quien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 xml:space="preserve">ACTA 03  ·  </w:t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Firmas obligatorias: Responsable del servicio + Responsable de Admisiones + Gestión de Calidad y Seguridad del Paciente.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4. CÓMO LLENAR CORRECTAMENTE</w:t>
            </w:r>
          </w:p>
        </w:tc>
      </w:tr>
    </w:tbl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como_llen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59" w:lineRule="auto"/>
      </w:pPr>
      <w:r>
        <w:rPr>
          <w:rFonts w:ascii="Calibri" w:hAnsi="Calibri"/>
          <w:b/>
          <w:i w:val="0"/>
          <w:color w:val="1E3A5F"/>
          <w:sz w:val="20"/>
        </w:rPr>
        <w:t>Reglas adicionales:</w:t>
      </w:r>
    </w:p>
    <w:p>
      <w:pPr>
        <w:spacing w:before="0" w:after="40"/>
        <w:ind w:left="142"/>
      </w:pPr>
      <w:r>
        <w:rPr>
          <w:rFonts w:ascii="Calibri" w:hAnsi="Calibri"/>
          <w:b w:val="0"/>
          <w:i w:val="0"/>
          <w:color w:val="4A5568"/>
          <w:sz w:val="20"/>
        </w:rPr>
        <w:t>•  Tinta azul o negra; no use lápiz ni corrector líquido.</w:t>
      </w:r>
    </w:p>
    <w:p>
      <w:pPr>
        <w:spacing w:before="0" w:after="40"/>
        <w:ind w:left="142"/>
      </w:pPr>
      <w:r>
        <w:rPr>
          <w:rFonts w:ascii="Calibri" w:hAnsi="Calibri"/>
          <w:b w:val="0"/>
          <w:i w:val="0"/>
          <w:color w:val="4A5568"/>
          <w:sz w:val="20"/>
        </w:rPr>
        <w:t>•  Error: tache con una línea, escriba “error” y firme al margen.</w:t>
      </w:r>
    </w:p>
    <w:p>
      <w:pPr>
        <w:spacing w:before="0" w:after="40"/>
        <w:ind w:left="142"/>
      </w:pPr>
      <w:r>
        <w:rPr>
          <w:rFonts w:ascii="Calibri" w:hAnsi="Calibri"/>
          <w:b w:val="0"/>
          <w:i w:val="0"/>
          <w:color w:val="4A5568"/>
          <w:sz w:val="20"/>
        </w:rPr>
        <w:t>•  Campos no aplicables: escriba “N/A”.</w:t>
      </w:r>
    </w:p>
    <w:p>
      <w:pPr>
        <w:spacing w:before="0" w:after="40"/>
        <w:ind w:left="142"/>
      </w:pPr>
      <w:r>
        <w:rPr>
          <w:rFonts w:ascii="Calibri" w:hAnsi="Calibri"/>
          <w:b w:val="0"/>
          <w:i w:val="0"/>
          <w:color w:val="4A5568"/>
          <w:sz w:val="20"/>
        </w:rPr>
        <w:t>•  Original al expediente INC-HC (CONFIDENCIAL); conserve copia legible.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5. SEÑALÉTICA RÁPIDA POR EVENTO (E1–E5)</w:t>
            </w:r>
          </w:p>
        </w:tc>
      </w:tr>
    </w:tbl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80000" cy="356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senaletica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6. FICHAS DE USO POR DOCUMENTO</w:t>
            </w:r>
          </w:p>
        </w:tc>
      </w:tr>
    </w:tbl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01 — Detección y notificación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Al detectar pérdida/extravío/deterioro.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Quien detecta · Jefatura del servicio · Admisiones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≤ 30 minutos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Anote fecha, hora y solicite/use INC-HC.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Marque E1–E5 y describa el hecho.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Identifique HCU y último movimiento.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Registre contención y notificaciones.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5.  </w:t>
      </w:r>
      <w:r>
        <w:rPr>
          <w:rFonts w:ascii="Calibri" w:hAnsi="Calibri"/>
          <w:b w:val="0"/>
          <w:i w:val="0"/>
          <w:color w:val="4A5568"/>
          <w:sz w:val="20"/>
        </w:rPr>
        <w:t>Obtenga las 3 firmas.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02 — Diagnóstico e inventario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Tras activar el plan y autorizar ingreso al archivo.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Admisiones · Servicio · Calidad · Dirección (+ TI si aplica)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1 día hábil (o según magnitud)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Conforme equipo y registre autorización.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Defina alcance (activo/pasivo/digital).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Inventario B/D/F/C y totales.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Conforme archivo recuperado y confirme E__.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5.  </w:t>
      </w:r>
      <w:r>
        <w:rPr>
          <w:rFonts w:ascii="Calibri" w:hAnsi="Calibri"/>
          <w:b w:val="0"/>
          <w:i w:val="0"/>
          <w:color w:val="4A5568"/>
          <w:sz w:val="20"/>
        </w:rPr>
        <w:t>Conclusiones y firmas.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03 — Recuperación y restauración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Cuando la HCU se localiza, restaura o reintegra.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Responsable del servicio · Admisiones · Calidad y Seguridad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Inmediato tras recuperar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Indique método (restitución/backup/anexión).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Aplique Arts. 18–19 de numeración.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Resultado por expediente (OK/Parcial/…).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Verifique custodia y nota administrativa.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5.  </w:t>
      </w:r>
      <w:r>
        <w:rPr>
          <w:rFonts w:ascii="Calibri" w:hAnsi="Calibri"/>
          <w:b w:val="0"/>
          <w:i w:val="0"/>
          <w:color w:val="4A5568"/>
          <w:sz w:val="20"/>
        </w:rPr>
        <w:t>Las 3 firmas son obligatorias.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04 — Reconstrucción documental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Si no hay recuperación íntegra o hay lagunas.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Profesional · Admisiones · Calidad · Servicio · Dirección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Tras confirmar no recuperación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Declare motivo y fuentes verificables.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Prohibido inventar datos; declare lagunas.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Note administrativa con INC-HC.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Adjunte evidencias (Anexo A, resultados…).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5.  </w:t>
      </w:r>
      <w:r>
        <w:rPr>
          <w:rFonts w:ascii="Calibri" w:hAnsi="Calibri"/>
          <w:b w:val="0"/>
          <w:i w:val="0"/>
          <w:color w:val="4A5568"/>
          <w:sz w:val="20"/>
        </w:rPr>
        <w:t>Firmas de elaboración y aprobación.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05 — Notificación al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Si se afectó disponibilidad o acceso del usuario.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Usuario · Funcionario · Admisiones · Vo.Bo. Calidad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Al estabilizar o al solicitarlo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Informe en entorno privado.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Marque lo comunicado.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Copia certificada ≤ 48 h si solicita.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Firmas de usuario y personal.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ACTA 06 — Informe de cierre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Al concluir acciones técnicas y administrativas.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Admisiones (elabora) · Calidad · Dirección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≤ 5 días hábiles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Resuma causa, alcance y resultados.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Acciones y medidas correctivas con plazos.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Impacto y responsabilidades.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Archive INC-HC en área restringida.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ANEXO A — Contingencia asistencial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Paciente en atención sin HCU disponible.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Profesional · Admisiones · Calidad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Inmediato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Identifique usuario y profesional.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Registre acto clínico completo.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No deje a la vista (CONFIDENCIAL).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/>
          <w:b w:val="0"/>
          <w:i w:val="0"/>
          <w:color w:val="4A5568"/>
          <w:sz w:val="20"/>
        </w:rPr>
        <w:t>Transcriba a la HCU y archive en INC-HC.</w:t>
      </w:r>
    </w:p>
    <w:p>
      <w:pPr>
        <w:spacing w:before="100" w:after="40" w:line="259" w:lineRule="auto"/>
      </w:pPr>
      <w:r>
        <w:rPr>
          <w:rFonts w:ascii="Calibri" w:hAnsi="Calibri"/>
          <w:b/>
          <w:i w:val="0"/>
          <w:color w:val="1E3A5F"/>
          <w:sz w:val="22"/>
        </w:rPr>
        <w:t>ANEXO B — Lista de verificación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¿Cuándo?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Verificar implementación del protocolo (no por incidente).</w:t>
            </w:r>
          </w:p>
        </w:tc>
        <w:tc>
          <w:tcPr>
            <w:tcW w:type="dxa" w:w="3513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¿Quién firma?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Admisiones · Calidad · Dirección</w:t>
            </w:r>
          </w:p>
        </w:tc>
        <w:tc>
          <w:tcPr>
            <w:tcW w:type="dxa" w:w="3513"/>
            <w:shd w:fill="F0F5F7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¿Plazo?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Trimestral / post-auditoría</w:t>
            </w:r>
          </w:p>
        </w:tc>
      </w:tr>
    </w:tbl>
    <w:p>
      <w:pPr>
        <w:spacing w:before="4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Pasos: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/>
          <w:b w:val="0"/>
          <w:i w:val="0"/>
          <w:color w:val="4A5568"/>
          <w:sz w:val="20"/>
        </w:rPr>
        <w:t>Marque ítems verificados.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/>
          <w:b w:val="0"/>
          <w:i w:val="0"/>
          <w:color w:val="4A5568"/>
          <w:sz w:val="20"/>
        </w:rPr>
        <w:t>Fecha y observaciones.</w:t>
      </w:r>
    </w:p>
    <w:p>
      <w:pPr>
        <w:spacing w:before="0" w:after="40" w:line="252" w:lineRule="auto"/>
        <w:ind w:left="113"/>
      </w:pPr>
      <w:r>
        <w:rPr>
          <w:rFonts w:ascii="Calibri" w:hAnsi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/>
          <w:b w:val="0"/>
          <w:i w:val="0"/>
          <w:color w:val="4A5568"/>
          <w:sz w:val="20"/>
        </w:rPr>
        <w:t>Tres firmas de verificación.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7. ERRORES FRECUENTES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fill="1E3A5F" w:val="clear"/>
            <w:tcBorders>
              <w:top w:val="single" w:sz="3" w:space="0" w:color="1E3A5F"/>
              <w:left w:val="single" w:sz="3" w:space="0" w:color="1E3A5F"/>
              <w:bottom w:val="single" w:sz="3" w:space="0" w:color="1E3A5F"/>
              <w:right w:val="single" w:sz="3" w:space="0" w:color="1E3A5F"/>
            </w:tcBorders>
            <w:tcMar>
              <w:top w:w="25" w:type="dxa"/>
              <w:left w:w="40" w:type="dxa"/>
              <w:bottom w:w="25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Error</w:t>
            </w:r>
          </w:p>
        </w:tc>
        <w:tc>
          <w:tcPr>
            <w:tcW w:type="dxa" w:w="5270"/>
            <w:shd w:fill="1E3A5F" w:val="clear"/>
            <w:tcBorders>
              <w:top w:val="single" w:sz="3" w:space="0" w:color="1E3A5F"/>
              <w:left w:val="single" w:sz="3" w:space="0" w:color="1E3A5F"/>
              <w:bottom w:val="single" w:sz="3" w:space="0" w:color="1E3A5F"/>
              <w:right w:val="single" w:sz="3" w:space="0" w:color="1E3A5F"/>
            </w:tcBorders>
            <w:tcMar>
              <w:top w:w="25" w:type="dxa"/>
              <w:left w:w="40" w:type="dxa"/>
              <w:bottom w:w="25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Corrección</w:t>
            </w:r>
          </w:p>
        </w:tc>
      </w:tr>
      <w:tr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Empezar sin Acta 01</w:t>
            </w:r>
          </w:p>
        </w:tc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Siempre inicie con detección y notificación.</w:t>
            </w:r>
          </w:p>
        </w:tc>
      </w:tr>
      <w:tr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Sin código INC-HC</w:t>
            </w:r>
          </w:p>
        </w:tc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Asigne INC-HC-AAAA-### al activar el plan.</w:t>
            </w:r>
          </w:p>
        </w:tc>
      </w:tr>
      <w:tr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03 sin las 3 firmas</w:t>
            </w:r>
          </w:p>
        </w:tc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Servicio + Admisiones + Calidad son obligatorias.</w:t>
            </w:r>
          </w:p>
        </w:tc>
      </w:tr>
      <w:tr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Reconstruir con datos inventados</w:t>
            </w:r>
          </w:p>
        </w:tc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Solo fuentes verificables; declare lagunas (Acta 04).</w:t>
            </w:r>
          </w:p>
        </w:tc>
      </w:tr>
      <w:tr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Atender sin Anexo A</w:t>
            </w:r>
          </w:p>
        </w:tc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 no hay HCU y hay paciente, use Anexo A ya.</w:t>
            </w:r>
          </w:p>
        </w:tc>
      </w:tr>
      <w:tr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Formularios a la vista</w:t>
            </w:r>
          </w:p>
        </w:tc>
        <w:tc>
          <w:tcPr>
            <w:tcW w:type="dxa" w:w="5270"/>
            <w:shd w:fill="FFFFFF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Son CONFIDENCIALES; custodia restringida.</w:t>
            </w:r>
          </w:p>
        </w:tc>
      </w:tr>
      <w:tr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Cerrar sin Acta 06</w:t>
            </w:r>
          </w:p>
        </w:tc>
        <w:tc>
          <w:tcPr>
            <w:tcW w:type="dxa" w:w="5270"/>
            <w:shd w:fill="F7F9FA" w:val="clear"/>
            <w:tcBorders>
              <w:top w:val="single" w:sz="3" w:space="0" w:color="C5D4DC"/>
              <w:left w:val="single" w:sz="3" w:space="0" w:color="C5D4DC"/>
              <w:bottom w:val="single" w:sz="3" w:space="0" w:color="C5D4DC"/>
              <w:right w:val="single" w:sz="3" w:space="0" w:color="C5D4DC"/>
            </w:tcBorders>
            <w:tcMar>
              <w:top w:w="22" w:type="dxa"/>
              <w:left w:w="40" w:type="dxa"/>
              <w:bottom w:w="22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Todo incidente debe cerrarse con informe y medidas.</w:t>
            </w:r>
          </w:p>
        </w:tc>
      </w:tr>
    </w:tbl>
    <w:p>
      <w:pPr>
        <w:spacing w:before="0" w:after="8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35" w:type="dxa"/>
              <w:left w:w="60" w:type="dxa"/>
              <w:bottom w:w="35" w:type="dxa"/>
              <w:right w:w="6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8. CHECKLIST RÁPIDO DEL OPERADOR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01 completa y firmada?</w:t>
            </w:r>
          </w:p>
        </w:tc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03 (recuperó) o Acta 04 (no recuperó)?</w:t>
            </w:r>
          </w:p>
        </w:tc>
      </w:tr>
      <w:tr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¿Plan activado y código INC-HC asignado?</w:t>
            </w:r>
          </w:p>
        </w:tc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03 con firmas Servicio + Admisiones + Calidad?</w:t>
            </w:r>
          </w:p>
        </w:tc>
      </w:tr>
      <w:tr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¿Evento clasificado E1–E5?</w:t>
            </w:r>
          </w:p>
        </w:tc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05 al usuario cuando aplica?</w:t>
            </w:r>
          </w:p>
        </w:tc>
      </w:tr>
      <w:tr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02 con inventario / archivo recuperado?</w:t>
            </w:r>
          </w:p>
        </w:tc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¿Acta 06 de cierre y expediente archivado?</w:t>
            </w:r>
          </w:p>
        </w:tc>
      </w:tr>
      <w:tr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☐  ¿Anexo A usado si había paciente en atención?</w:t>
            </w:r>
          </w:p>
        </w:tc>
        <w:tc>
          <w:tcPr>
            <w:tcW w:type="dxa" w:w="5270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10" w:type="dxa"/>
              <w:left w:w="20" w:type="dxa"/>
              <w:bottom w:w="10" w:type="dxa"/>
              <w:right w:w="20" w:type="dxa"/>
            </w:tcMar>
          </w:tcPr>
          <w:p>
            <w:r/>
          </w:p>
        </w:tc>
      </w:tr>
    </w:tbl>
    <w:p>
      <w:pPr>
        <w:spacing w:before="0" w:after="12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 xml:space="preserve">CONTACTO  ·  </w:t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Dudas de llenado o custodia: 0991976454 · Gestión de Calidad y Seguridad del Paciente / Admisiones — Hospital General Puyo.</w:t>
            </w:r>
          </w:p>
        </w:tc>
      </w:tr>
    </w:tbl>
    <w:p>
      <w:pPr>
        <w:spacing w:before="160" w:after="60" w:line="259" w:lineRule="auto"/>
        <w:jc w:val="center"/>
      </w:pPr>
      <w:r>
        <w:rPr>
          <w:rFonts w:ascii="Calibri" w:hAnsi="Calibri"/>
          <w:b/>
          <w:i w:val="0"/>
          <w:color w:val="1E3A5F"/>
          <w:sz w:val="20"/>
        </w:rPr>
        <w:t>APROBACIÓN DEL MANUAL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40" w:type="dxa"/>
              <w:left w:w="25" w:type="dxa"/>
              <w:bottom w:w="3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Tlgo. Andrés Romero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</w:t>
              <w:br/>
              <w:t>Firma · Fecha</w:t>
            </w:r>
          </w:p>
        </w:tc>
        <w:tc>
          <w:tcPr>
            <w:tcW w:type="dxa" w:w="351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40" w:type="dxa"/>
              <w:left w:w="25" w:type="dxa"/>
              <w:bottom w:w="3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Dra. Stephany Tayupanda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</w:t>
              <w:br/>
              <w:t>Firma · Fecha</w:t>
            </w:r>
          </w:p>
        </w:tc>
        <w:tc>
          <w:tcPr>
            <w:tcW w:type="dxa" w:w="351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40" w:type="dxa"/>
              <w:left w:w="25" w:type="dxa"/>
              <w:bottom w:w="35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Dr. Gabriel García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</w:t>
              <w:br/>
              <w:t>Firma · Fecha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A5568"/>
        <w:sz w:val="16"/>
      </w:rPr>
      <w:t xml:space="preserve">MSP  ·  Contacto: 0991976454  ·  Pág. </w:t>
    </w:r>
    <w:r>
      <w:rPr>
        <w:rFonts w:ascii="Calibri" w:hAnsi="Calibri"/>
        <w:b w:val="0"/>
        <w:i w:val="0"/>
        <w:color w:val="4A5568"/>
        <w:sz w:val="16"/>
      </w:rPr>
      <w:fldChar w:fldCharType="begin"/>
    </w:r>
    <w:r>
      <w:rPr>
        <w:rFonts w:ascii="Calibri" w:hAnsi="Calibri"/>
        <w:b w:val="0"/>
        <w:i w:val="0"/>
        <w:color w:val="4A5568"/>
        <w:sz w:val="16"/>
      </w:rPr>
      <w:instrText xml:space="preserve"> PAGE </w:instrText>
    </w:r>
    <w:r>
      <w:rPr>
        <w:rFonts w:ascii="Calibri" w:hAnsi="Calibri"/>
        <w:b w:val="0"/>
        <w:i w:val="0"/>
        <w:color w:val="4A556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C5D4DC"/>
      </w:pBdr>
    </w:pPr>
    <w:r>
      <w:rPr>
        <w:rFonts w:ascii="Calibri" w:hAnsi="Calibri"/>
        <w:b w:val="0"/>
        <w:i w:val="0"/>
        <w:color w:val="2A6F6F"/>
        <w:sz w:val="16"/>
      </w:rPr>
      <w:t>MANUAL DE USO  ·  PROT-HC-001-MU  ·  Hospital General Puyo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