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ADDE" w14:textId="77777777" w:rsidR="00F93313" w:rsidRDefault="0062302B">
      <w:pPr>
        <w:spacing w:after="40"/>
        <w:jc w:val="center"/>
      </w:pPr>
      <w:r>
        <w:rPr>
          <w:b/>
          <w:bCs/>
          <w:color w:val="1B2A4A"/>
          <w:sz w:val="32"/>
          <w:szCs w:val="32"/>
        </w:rPr>
        <w:t>CONTRATO DE PRESTAÇÃO DE SERVIÇOS</w:t>
      </w:r>
    </w:p>
    <w:p w14:paraId="4E23E2A8" w14:textId="77777777" w:rsidR="00F93313" w:rsidRDefault="0062302B">
      <w:pPr>
        <w:spacing w:after="40"/>
        <w:jc w:val="center"/>
      </w:pPr>
      <w:r>
        <w:rPr>
          <w:b/>
          <w:bCs/>
          <w:color w:val="B8960C"/>
          <w:sz w:val="26"/>
          <w:szCs w:val="26"/>
        </w:rPr>
        <w:t>DESENVOLVIMENTO DE SOFTWARE</w:t>
      </w:r>
    </w:p>
    <w:p w14:paraId="51BB2C09" w14:textId="77777777" w:rsidR="00F93313" w:rsidRDefault="0062302B">
      <w:pPr>
        <w:spacing w:after="320"/>
        <w:jc w:val="center"/>
      </w:pPr>
      <w:r>
        <w:rPr>
          <w:i/>
          <w:iCs/>
          <w:color w:val="555555"/>
        </w:rPr>
        <w:t>Toga Digital — Busca Semântica em Jurisprudência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93313" w14:paraId="2411361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95296B" w14:textId="77777777" w:rsidR="00F93313" w:rsidRDefault="0062302B">
            <w:r>
              <w:rPr>
                <w:b/>
                <w:bCs/>
                <w:color w:val="1B2A4A"/>
                <w:sz w:val="20"/>
                <w:szCs w:val="20"/>
              </w:rPr>
              <w:t>CONTRATANTE</w:t>
            </w:r>
          </w:p>
          <w:p w14:paraId="3962A0AC" w14:textId="77777777" w:rsidR="00F93313" w:rsidRDefault="0062302B">
            <w:pPr>
              <w:spacing w:before="80"/>
            </w:pPr>
            <w:r>
              <w:t xml:space="preserve">[Nome completo de </w:t>
            </w:r>
            <w:proofErr w:type="spellStart"/>
            <w:r>
              <w:t>Valdece</w:t>
            </w:r>
            <w:proofErr w:type="spellEnd"/>
            <w:r>
              <w:t>]</w:t>
            </w:r>
          </w:p>
          <w:p w14:paraId="17BAC62C" w14:textId="77777777" w:rsidR="00F93313" w:rsidRDefault="0062302B">
            <w:r>
              <w:t>OAB/[Estado] nº [número]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5137BC" w14:textId="77777777" w:rsidR="00F93313" w:rsidRDefault="0062302B">
            <w:r>
              <w:rPr>
                <w:b/>
                <w:bCs/>
                <w:color w:val="1B2A4A"/>
                <w:sz w:val="20"/>
                <w:szCs w:val="20"/>
              </w:rPr>
              <w:t>CONTRATADO</w:t>
            </w:r>
          </w:p>
          <w:p w14:paraId="0DD41884" w14:textId="77777777" w:rsidR="00F93313" w:rsidRDefault="0062302B">
            <w:pPr>
              <w:spacing w:before="80"/>
            </w:pPr>
            <w:r>
              <w:t>Eduardo [Sobrenome]</w:t>
            </w:r>
          </w:p>
          <w:p w14:paraId="1CBD451D" w14:textId="77777777" w:rsidR="00F93313" w:rsidRDefault="0062302B">
            <w:r>
              <w:t>Vanguard Tech</w:t>
            </w:r>
          </w:p>
        </w:tc>
      </w:tr>
      <w:tr w:rsidR="00F93313" w14:paraId="4C111C9A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55C270" w14:textId="77777777" w:rsidR="00F93313" w:rsidRDefault="0062302B">
            <w:pPr>
              <w:jc w:val="center"/>
            </w:pPr>
            <w:r>
              <w:rPr>
                <w:b/>
                <w:bCs/>
              </w:rPr>
              <w:t xml:space="preserve">Data de assinatura: </w:t>
            </w:r>
            <w:r>
              <w:t>19 de maio de 2026</w:t>
            </w:r>
          </w:p>
        </w:tc>
      </w:tr>
    </w:tbl>
    <w:p w14:paraId="47831896" w14:textId="77777777" w:rsidR="00F93313" w:rsidRDefault="00F93313">
      <w:pPr>
        <w:spacing w:before="320"/>
      </w:pPr>
    </w:p>
    <w:p w14:paraId="0B5307C4" w14:textId="77777777" w:rsidR="00F93313" w:rsidRDefault="0062302B">
      <w:pPr>
        <w:pBdr>
          <w:bottom w:val="single" w:sz="4" w:space="4" w:color="B8960C"/>
        </w:pBdr>
        <w:spacing w:before="280" w:after="100"/>
      </w:pPr>
      <w:r>
        <w:rPr>
          <w:b/>
          <w:bCs/>
          <w:color w:val="1B2A4A"/>
          <w:sz w:val="24"/>
          <w:szCs w:val="24"/>
        </w:rPr>
        <w:t>1. OBJETO</w:t>
      </w:r>
    </w:p>
    <w:p w14:paraId="0B5D9271" w14:textId="77777777" w:rsidR="00F93313" w:rsidRDefault="0062302B" w:rsidP="00A27715">
      <w:pPr>
        <w:spacing w:before="80" w:after="80"/>
        <w:jc w:val="both"/>
      </w:pPr>
      <w:r>
        <w:t>O Contratado entrega ao Contratante ferramenta de busca semântica em jurisprudência do STF e STJ, denominada “Toga Digital”, conforme especificações da Cláusula 2.</w:t>
      </w:r>
    </w:p>
    <w:p w14:paraId="1FC7C149" w14:textId="77777777" w:rsidR="00F93313" w:rsidRDefault="00F93313" w:rsidP="00A27715">
      <w:pPr>
        <w:spacing w:before="120"/>
        <w:jc w:val="both"/>
      </w:pPr>
    </w:p>
    <w:p w14:paraId="4D4EC4E4" w14:textId="77777777" w:rsidR="00F93313" w:rsidRDefault="0062302B" w:rsidP="00A27715">
      <w:pPr>
        <w:pBdr>
          <w:bottom w:val="single" w:sz="4" w:space="4" w:color="B8960C"/>
        </w:pBdr>
        <w:spacing w:before="280" w:after="100"/>
        <w:jc w:val="both"/>
      </w:pPr>
      <w:r>
        <w:rPr>
          <w:b/>
          <w:bCs/>
          <w:color w:val="1B2A4A"/>
          <w:sz w:val="24"/>
          <w:szCs w:val="24"/>
        </w:rPr>
        <w:t>2. ESCOPO ENTREGUE</w:t>
      </w:r>
    </w:p>
    <w:p w14:paraId="61E44195" w14:textId="77777777" w:rsidR="00F93313" w:rsidRDefault="0062302B" w:rsidP="00A27715">
      <w:pPr>
        <w:spacing w:before="80" w:after="80"/>
        <w:jc w:val="both"/>
      </w:pPr>
      <w:r>
        <w:t>O objeto deste contrato compreende exclusivamente as seguintes entregas:</w:t>
      </w:r>
    </w:p>
    <w:p w14:paraId="0CB4DA68" w14:textId="77777777" w:rsidR="00F93313" w:rsidRDefault="0062302B" w:rsidP="00A27715">
      <w:pPr>
        <w:pStyle w:val="PargrafodaLista"/>
        <w:numPr>
          <w:ilvl w:val="0"/>
          <w:numId w:val="2"/>
        </w:numPr>
        <w:spacing w:before="60" w:after="60"/>
        <w:jc w:val="both"/>
      </w:pPr>
      <w:r>
        <w:t>Busca semântica no corpus de jurisprudências do STF e STJ, com modo de busca preciso e amplo</w:t>
      </w:r>
    </w:p>
    <w:p w14:paraId="112B8321" w14:textId="77777777" w:rsidR="00F93313" w:rsidRDefault="0062302B" w:rsidP="00A27715">
      <w:pPr>
        <w:pStyle w:val="PargrafodaLista"/>
        <w:numPr>
          <w:ilvl w:val="0"/>
          <w:numId w:val="2"/>
        </w:numPr>
        <w:spacing w:before="60" w:after="60"/>
        <w:jc w:val="both"/>
      </w:pPr>
      <w:r>
        <w:t>Geração automática de citação no formato ABNT NBR 6023</w:t>
      </w:r>
    </w:p>
    <w:p w14:paraId="4D523712" w14:textId="77777777" w:rsidR="00F93313" w:rsidRDefault="0062302B" w:rsidP="00A27715">
      <w:pPr>
        <w:pStyle w:val="PargrafodaLista"/>
        <w:numPr>
          <w:ilvl w:val="0"/>
          <w:numId w:val="2"/>
        </w:numPr>
        <w:spacing w:before="60" w:after="60"/>
        <w:jc w:val="both"/>
      </w:pPr>
      <w:r>
        <w:t xml:space="preserve">Interface Toga Digital (design </w:t>
      </w:r>
      <w:proofErr w:type="spellStart"/>
      <w:r>
        <w:t>navy</w:t>
      </w:r>
      <w:proofErr w:type="spellEnd"/>
      <w:r>
        <w:t xml:space="preserve"> e ouro)</w:t>
      </w:r>
    </w:p>
    <w:p w14:paraId="66177C36" w14:textId="77777777" w:rsidR="00F93313" w:rsidRDefault="0062302B" w:rsidP="00A27715">
      <w:pPr>
        <w:pStyle w:val="PargrafodaLista"/>
        <w:numPr>
          <w:ilvl w:val="0"/>
          <w:numId w:val="2"/>
        </w:numPr>
        <w:spacing w:before="60" w:after="60"/>
        <w:jc w:val="both"/>
      </w:pPr>
      <w:r>
        <w:t>Sistema de autenticação individual — acesso exclusivo do Contratante</w:t>
      </w:r>
    </w:p>
    <w:p w14:paraId="2E05192E" w14:textId="77777777" w:rsidR="00F93313" w:rsidRDefault="0062302B" w:rsidP="00A27715">
      <w:pPr>
        <w:pStyle w:val="PargrafodaLista"/>
        <w:numPr>
          <w:ilvl w:val="0"/>
          <w:numId w:val="2"/>
        </w:numPr>
        <w:spacing w:before="60" w:after="60"/>
        <w:jc w:val="both"/>
      </w:pPr>
      <w:r>
        <w:t xml:space="preserve">Infraestrutura hospedada na conta do Contratante (Google AI Studio + </w:t>
      </w:r>
      <w:proofErr w:type="spellStart"/>
      <w:r>
        <w:t>Supabase</w:t>
      </w:r>
      <w:proofErr w:type="spellEnd"/>
      <w:r>
        <w:t>)</w:t>
      </w:r>
    </w:p>
    <w:p w14:paraId="14A3D354" w14:textId="77777777" w:rsidR="00F93313" w:rsidRDefault="0062302B" w:rsidP="00A27715">
      <w:pPr>
        <w:pStyle w:val="PargrafodaLista"/>
        <w:numPr>
          <w:ilvl w:val="0"/>
          <w:numId w:val="2"/>
        </w:numPr>
        <w:spacing w:before="60" w:after="60"/>
        <w:jc w:val="both"/>
      </w:pPr>
      <w:proofErr w:type="spellStart"/>
      <w:r>
        <w:t>Playbook</w:t>
      </w:r>
      <w:proofErr w:type="spellEnd"/>
      <w:r>
        <w:t xml:space="preserve"> de operação soberana — o Contratante opera sem depender do Contratado</w:t>
      </w:r>
    </w:p>
    <w:p w14:paraId="6BEEFA48" w14:textId="77777777" w:rsidR="00F93313" w:rsidRDefault="00F93313" w:rsidP="00A27715">
      <w:pPr>
        <w:spacing w:before="120"/>
        <w:jc w:val="both"/>
      </w:pPr>
    </w:p>
    <w:p w14:paraId="4A0481E9" w14:textId="77777777" w:rsidR="00F93313" w:rsidRDefault="0062302B" w:rsidP="00A27715">
      <w:pPr>
        <w:pBdr>
          <w:bottom w:val="single" w:sz="4" w:space="4" w:color="B8960C"/>
        </w:pBdr>
        <w:spacing w:before="280" w:after="100"/>
        <w:jc w:val="both"/>
      </w:pPr>
      <w:r>
        <w:rPr>
          <w:b/>
          <w:bCs/>
          <w:color w:val="1B2A4A"/>
          <w:sz w:val="24"/>
          <w:szCs w:val="24"/>
        </w:rPr>
        <w:t>3. O QUE NÃO ESTÁ INCLUÍDO</w:t>
      </w:r>
    </w:p>
    <w:p w14:paraId="29F894E6" w14:textId="77777777" w:rsidR="00F93313" w:rsidRDefault="0062302B" w:rsidP="00A27715">
      <w:pPr>
        <w:spacing w:before="80" w:after="80"/>
        <w:jc w:val="both"/>
      </w:pPr>
      <w:r>
        <w:t>As funcionalidades abaixo não integram o escopo deste contrato e são objeto de versão futura (V2), a ser formalizada em instrumento separado:</w:t>
      </w:r>
    </w:p>
    <w:p w14:paraId="4074F972" w14:textId="77777777" w:rsidR="00F93313" w:rsidRDefault="0062302B" w:rsidP="00A27715">
      <w:pPr>
        <w:pStyle w:val="PargrafodaLista"/>
        <w:numPr>
          <w:ilvl w:val="0"/>
          <w:numId w:val="2"/>
        </w:numPr>
        <w:spacing w:before="60" w:after="60"/>
        <w:jc w:val="both"/>
      </w:pPr>
      <w:r>
        <w:t>Upload de documentos próprios (Sovereign Upload)</w:t>
      </w:r>
    </w:p>
    <w:p w14:paraId="6292659A" w14:textId="77777777" w:rsidR="00F93313" w:rsidRDefault="0062302B" w:rsidP="00A27715">
      <w:pPr>
        <w:pStyle w:val="PargrafodaLista"/>
        <w:numPr>
          <w:ilvl w:val="0"/>
          <w:numId w:val="2"/>
        </w:numPr>
        <w:spacing w:before="60" w:after="60"/>
        <w:jc w:val="both"/>
      </w:pPr>
      <w:r>
        <w:t>Radar de Divergência Jurisprudencial</w:t>
      </w:r>
    </w:p>
    <w:p w14:paraId="2550A0F6" w14:textId="77777777" w:rsidR="00F93313" w:rsidRDefault="0062302B" w:rsidP="00A27715">
      <w:pPr>
        <w:pStyle w:val="PargrafodaLista"/>
        <w:numPr>
          <w:ilvl w:val="0"/>
          <w:numId w:val="2"/>
        </w:numPr>
        <w:spacing w:before="60" w:after="60"/>
        <w:jc w:val="both"/>
      </w:pPr>
      <w:r>
        <w:t>Exportação automática de citações em formato DOCX</w:t>
      </w:r>
    </w:p>
    <w:p w14:paraId="213BB2F1" w14:textId="77777777" w:rsidR="00F93313" w:rsidRDefault="00F93313" w:rsidP="00A27715">
      <w:pPr>
        <w:spacing w:before="80"/>
        <w:jc w:val="both"/>
      </w:pPr>
    </w:p>
    <w:p w14:paraId="0A4C9C86" w14:textId="77777777" w:rsidR="00F93313" w:rsidRDefault="0062302B" w:rsidP="00A27715">
      <w:pPr>
        <w:spacing w:before="80" w:after="80"/>
        <w:jc w:val="both"/>
      </w:pPr>
      <w:r>
        <w:rPr>
          <w:i/>
          <w:iCs/>
          <w:color w:val="666666"/>
        </w:rPr>
        <w:t>Gatilho para proposta de V2: corpus ≥ 500 documentos ou 30 dias após a entrega.</w:t>
      </w:r>
    </w:p>
    <w:p w14:paraId="381D7368" w14:textId="77777777" w:rsidR="00F93313" w:rsidRDefault="00F93313" w:rsidP="00A27715">
      <w:pPr>
        <w:spacing w:before="120"/>
        <w:jc w:val="both"/>
      </w:pPr>
    </w:p>
    <w:p w14:paraId="5CE1357F" w14:textId="77777777" w:rsidR="00F93313" w:rsidRDefault="0062302B" w:rsidP="00A27715">
      <w:pPr>
        <w:pBdr>
          <w:bottom w:val="single" w:sz="4" w:space="4" w:color="B8960C"/>
        </w:pBdr>
        <w:spacing w:before="280" w:after="100"/>
        <w:jc w:val="both"/>
      </w:pPr>
      <w:r>
        <w:rPr>
          <w:b/>
          <w:bCs/>
          <w:color w:val="1B2A4A"/>
          <w:sz w:val="24"/>
          <w:szCs w:val="24"/>
        </w:rPr>
        <w:t>4. VALOR E PAGAMENTO</w:t>
      </w:r>
    </w:p>
    <w:p w14:paraId="552D27D9" w14:textId="77777777" w:rsidR="00242D2D" w:rsidRDefault="00000000" w:rsidP="00A27715">
      <w:pPr>
        <w:jc w:val="both"/>
      </w:pPr>
      <w:r>
        <w:t>4.1  Valor fixo: R$ 5.000,00 (cinco mil reais) — pagamento único, a ser realizado conforme acordo entre as partes.</w:t>
      </w:r>
    </w:p>
    <w:p w14:paraId="405EA5D8" w14:textId="77777777" w:rsidR="00242D2D" w:rsidRDefault="00242D2D" w:rsidP="00A27715">
      <w:pPr>
        <w:jc w:val="both"/>
      </w:pPr>
    </w:p>
    <w:p w14:paraId="0A0D2C89" w14:textId="77777777" w:rsidR="00242D2D" w:rsidRDefault="00000000" w:rsidP="00A27715">
      <w:pPr>
        <w:jc w:val="both"/>
      </w:pPr>
      <w:r>
        <w:t xml:space="preserve">4.2  Participação em Resultados (Revenue Share): Sobre qualquer receita recorrente gerada por produto SaaS derivado desta entrega, o Contratante repassará ao Contratado 20% (vinte </w:t>
      </w:r>
      <w:r>
        <w:lastRenderedPageBreak/>
        <w:t>por cento) do MRR (Monthly Recurring Revenue) apurado mensalmente, a partir do primeiro mês de operação comercial. O repasse será realizado até o dia 10 (dez) de cada mês subsequente, mediante comprovante de faturamento.</w:t>
      </w:r>
    </w:p>
    <w:p w14:paraId="367227D0" w14:textId="77777777" w:rsidR="00242D2D" w:rsidRDefault="00242D2D" w:rsidP="00A27715">
      <w:pPr>
        <w:jc w:val="both"/>
      </w:pPr>
    </w:p>
    <w:p w14:paraId="546E1833" w14:textId="77777777" w:rsidR="00242D2D" w:rsidRDefault="00000000" w:rsidP="00A27715">
      <w:pPr>
        <w:jc w:val="both"/>
      </w:pPr>
      <w:r>
        <w:t>4.3  O valor fixo estipulado no item 4.1 foi estabelecido abaixo do valor de mercado exclusivamente em função da contrapartida de participação em resultados prevista no item 4.2. A ausência de cumprimento do item 4.2 implica reequilíbrio contratual a ser negociado entre as partes.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93313" w14:paraId="60D3D1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2560" w14:textId="77777777" w:rsidR="00F93313" w:rsidRDefault="0062302B" w:rsidP="00A27715">
            <w:pPr>
              <w:jc w:val="both"/>
            </w:pPr>
            <w:r>
              <w:rPr>
                <w:b/>
                <w:bCs/>
              </w:rPr>
              <w:t>Valor total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9E5A" w14:textId="77777777" w:rsidR="00F93313" w:rsidRDefault="0062302B" w:rsidP="00A27715">
            <w:pPr>
              <w:jc w:val="both"/>
            </w:pPr>
            <w:r>
              <w:rPr>
                <w:b/>
                <w:bCs/>
                <w:color w:val="1B2A4A"/>
              </w:rPr>
              <w:t>R$ 5.000,00 (cinco mil reais)</w:t>
            </w:r>
          </w:p>
        </w:tc>
      </w:tr>
      <w:tr w:rsidR="00F93313" w14:paraId="06DCB5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410C" w14:textId="77777777" w:rsidR="00F93313" w:rsidRDefault="0062302B" w:rsidP="00A27715">
            <w:pPr>
              <w:jc w:val="both"/>
            </w:pPr>
            <w:r>
              <w:rPr>
                <w:b/>
                <w:bCs/>
              </w:rPr>
              <w:t>Modalidade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3E79" w14:textId="77777777" w:rsidR="00F93313" w:rsidRDefault="0062302B" w:rsidP="00A27715">
            <w:pPr>
              <w:jc w:val="both"/>
            </w:pPr>
            <w:r>
              <w:t>Pagamento único — PIX ou transferência bancária</w:t>
            </w:r>
          </w:p>
        </w:tc>
      </w:tr>
      <w:tr w:rsidR="00F93313" w14:paraId="146519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E7E1" w14:textId="77777777" w:rsidR="00F93313" w:rsidRDefault="0062302B" w:rsidP="00A27715">
            <w:pPr>
              <w:jc w:val="both"/>
            </w:pPr>
            <w:r>
              <w:rPr>
                <w:b/>
                <w:bCs/>
              </w:rPr>
              <w:t>Vencimento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86B2" w14:textId="77777777" w:rsidR="00F93313" w:rsidRDefault="0062302B" w:rsidP="00A27715">
            <w:pPr>
              <w:jc w:val="both"/>
            </w:pPr>
            <w:r>
              <w:t>Até a data da entrega (19/05/2026)</w:t>
            </w:r>
          </w:p>
        </w:tc>
      </w:tr>
    </w:tbl>
    <w:p w14:paraId="05A27852" w14:textId="77777777" w:rsidR="00F93313" w:rsidRDefault="00F93313" w:rsidP="00A27715">
      <w:pPr>
        <w:spacing w:before="120"/>
        <w:jc w:val="both"/>
      </w:pPr>
    </w:p>
    <w:p w14:paraId="44EE95DD" w14:textId="77777777" w:rsidR="00F93313" w:rsidRDefault="0062302B" w:rsidP="00A27715">
      <w:pPr>
        <w:pBdr>
          <w:bottom w:val="single" w:sz="4" w:space="4" w:color="B8960C"/>
        </w:pBdr>
        <w:spacing w:before="280" w:after="100"/>
        <w:jc w:val="both"/>
      </w:pPr>
      <w:r>
        <w:rPr>
          <w:b/>
          <w:bCs/>
          <w:color w:val="1B2A4A"/>
          <w:sz w:val="24"/>
          <w:szCs w:val="24"/>
        </w:rPr>
        <w:t>5. CUSTO OPERACIONAL</w:t>
      </w:r>
    </w:p>
    <w:p w14:paraId="0FF82258" w14:textId="77777777" w:rsidR="00F93313" w:rsidRDefault="0062302B" w:rsidP="00A27715">
      <w:pPr>
        <w:spacing w:before="80" w:after="80"/>
        <w:jc w:val="both"/>
      </w:pPr>
      <w:r>
        <w:t xml:space="preserve">Após a entrega, o sistema opera integralmente na infraestrutura do Contratante. O custo estimado de API é de R$ 1,20/mês, debitado diretamente na conta Google AI Studio do Contratante. O Contratado não tem acesso a esta conta após o </w:t>
      </w:r>
      <w:proofErr w:type="spellStart"/>
      <w:r>
        <w:t>handoff</w:t>
      </w:r>
      <w:proofErr w:type="spellEnd"/>
      <w:r>
        <w:t>.</w:t>
      </w:r>
    </w:p>
    <w:p w14:paraId="3D4A4264" w14:textId="77777777" w:rsidR="00F93313" w:rsidRDefault="00F93313" w:rsidP="00A27715">
      <w:pPr>
        <w:spacing w:before="120"/>
        <w:jc w:val="both"/>
      </w:pPr>
    </w:p>
    <w:p w14:paraId="64E1C78C" w14:textId="77777777" w:rsidR="00F93313" w:rsidRDefault="0062302B" w:rsidP="00A27715">
      <w:pPr>
        <w:pBdr>
          <w:bottom w:val="single" w:sz="4" w:space="4" w:color="B8960C"/>
        </w:pBdr>
        <w:spacing w:before="280" w:after="100"/>
        <w:jc w:val="both"/>
      </w:pPr>
      <w:r>
        <w:rPr>
          <w:b/>
          <w:bCs/>
          <w:color w:val="1B2A4A"/>
          <w:sz w:val="24"/>
          <w:szCs w:val="24"/>
        </w:rPr>
        <w:t>6. LICENÇA DE USO</w:t>
      </w:r>
    </w:p>
    <w:p w14:paraId="44B1422A" w14:textId="77777777" w:rsidR="00F93313" w:rsidRDefault="0062302B" w:rsidP="00A27715">
      <w:pPr>
        <w:spacing w:before="80" w:after="80"/>
        <w:jc w:val="both"/>
      </w:pPr>
      <w:r>
        <w:t>A ferramenta é licenciada para uso exclusivo do Contratante. É vedado o compartilhamento de acesso, sublicenciamento ou uso por terceiros sem autorização expressa e por escrito do Contratado.</w:t>
      </w:r>
    </w:p>
    <w:p w14:paraId="5F442C35" w14:textId="77777777" w:rsidR="00F93313" w:rsidRDefault="00F93313" w:rsidP="00A27715">
      <w:pPr>
        <w:spacing w:before="120"/>
        <w:jc w:val="both"/>
      </w:pPr>
    </w:p>
    <w:p w14:paraId="5560DD1F" w14:textId="77777777" w:rsidR="00F93313" w:rsidRDefault="0062302B" w:rsidP="00A27715">
      <w:pPr>
        <w:pBdr>
          <w:bottom w:val="single" w:sz="4" w:space="4" w:color="B8960C"/>
        </w:pBdr>
        <w:spacing w:before="280" w:after="100"/>
        <w:jc w:val="both"/>
      </w:pPr>
      <w:r>
        <w:rPr>
          <w:b/>
          <w:bCs/>
          <w:color w:val="1B2A4A"/>
          <w:sz w:val="24"/>
          <w:szCs w:val="24"/>
        </w:rPr>
        <w:t>7. SUPORTE PÓS-ENTREGA — HYPERCARE</w:t>
      </w:r>
    </w:p>
    <w:p w14:paraId="000FCF5F" w14:textId="77777777" w:rsidR="00F93313" w:rsidRDefault="0062302B" w:rsidP="00A27715">
      <w:pPr>
        <w:spacing w:before="80" w:after="80"/>
        <w:jc w:val="both"/>
      </w:pPr>
      <w:r>
        <w:t xml:space="preserve">O Contratado oferece período de </w:t>
      </w:r>
      <w:proofErr w:type="spellStart"/>
      <w:r>
        <w:t>Hypercare</w:t>
      </w:r>
      <w:proofErr w:type="spellEnd"/>
      <w:r>
        <w:t xml:space="preserve"> de 30 (trinta) dias corridos a contar da data de entrega, incluindo correção de bugs críticos sem custo adicional.</w:t>
      </w:r>
    </w:p>
    <w:p w14:paraId="79933292" w14:textId="77777777" w:rsidR="00F93313" w:rsidRDefault="00F93313" w:rsidP="00A27715">
      <w:pPr>
        <w:spacing w:before="80"/>
        <w:jc w:val="both"/>
      </w:pPr>
    </w:p>
    <w:p w14:paraId="1F07FAB0" w14:textId="77777777" w:rsidR="00F93313" w:rsidRDefault="0062302B" w:rsidP="00A27715">
      <w:pPr>
        <w:spacing w:before="80" w:after="80"/>
        <w:jc w:val="both"/>
      </w:pPr>
      <w:r>
        <w:t xml:space="preserve">Findo o período de </w:t>
      </w:r>
      <w:proofErr w:type="spellStart"/>
      <w:r>
        <w:t>Hypercare</w:t>
      </w:r>
      <w:proofErr w:type="spellEnd"/>
      <w:r>
        <w:t xml:space="preserve">, o Contratante opera de forma soberana com base no Sovereign </w:t>
      </w:r>
      <w:proofErr w:type="spellStart"/>
      <w:r>
        <w:t>Playbook</w:t>
      </w:r>
      <w:proofErr w:type="spellEnd"/>
      <w:r>
        <w:t xml:space="preserve"> entregue no </w:t>
      </w:r>
      <w:proofErr w:type="spellStart"/>
      <w:r>
        <w:t>handoff</w:t>
      </w:r>
      <w:proofErr w:type="spellEnd"/>
      <w:r>
        <w:t xml:space="preserve"> — sem dependência do Contratado e sem custo mensal adicional.</w:t>
      </w:r>
    </w:p>
    <w:p w14:paraId="1028E591" w14:textId="77777777" w:rsidR="00F93313" w:rsidRDefault="00F93313" w:rsidP="00A27715">
      <w:pPr>
        <w:spacing w:before="120"/>
        <w:jc w:val="both"/>
      </w:pPr>
    </w:p>
    <w:p w14:paraId="0BFBA4ED" w14:textId="77777777" w:rsidR="00F93313" w:rsidRDefault="0062302B" w:rsidP="00A27715">
      <w:pPr>
        <w:pBdr>
          <w:bottom w:val="single" w:sz="4" w:space="4" w:color="B8960C"/>
        </w:pBdr>
        <w:spacing w:before="280" w:after="100"/>
        <w:jc w:val="both"/>
      </w:pPr>
      <w:r>
        <w:rPr>
          <w:b/>
          <w:bCs/>
          <w:color w:val="1B2A4A"/>
          <w:sz w:val="24"/>
          <w:szCs w:val="24"/>
        </w:rPr>
        <w:t>8. PROPRIEDADE INTELECTUAL</w:t>
      </w:r>
    </w:p>
    <w:p w14:paraId="4FF2C2E2" w14:textId="77777777" w:rsidR="00F93313" w:rsidRDefault="0062302B" w:rsidP="00A27715">
      <w:pPr>
        <w:spacing w:before="80" w:after="80"/>
        <w:jc w:val="both"/>
      </w:pPr>
      <w:r>
        <w:t>O código-fonte entregue pertence ao Contratante após a quitação integral do valor contratado. O Contratado retém o direito de reutilizar padrões arquiteturais genéricos em outros projetos, vedada a reprodução de dados, corpus jurídico ou identidade visual do Contratante.</w:t>
      </w:r>
    </w:p>
    <w:p w14:paraId="2F2B2714" w14:textId="77777777" w:rsidR="00F93313" w:rsidRDefault="00F93313" w:rsidP="00A27715">
      <w:pPr>
        <w:spacing w:before="120"/>
        <w:jc w:val="both"/>
      </w:pPr>
    </w:p>
    <w:p w14:paraId="2586EEFA" w14:textId="77777777" w:rsidR="00F93313" w:rsidRDefault="0062302B" w:rsidP="00A27715">
      <w:pPr>
        <w:pBdr>
          <w:bottom w:val="single" w:sz="4" w:space="4" w:color="B8960C"/>
        </w:pBdr>
        <w:spacing w:before="280" w:after="100"/>
        <w:jc w:val="both"/>
      </w:pPr>
      <w:r>
        <w:rPr>
          <w:b/>
          <w:bCs/>
          <w:color w:val="1B2A4A"/>
          <w:sz w:val="24"/>
          <w:szCs w:val="24"/>
        </w:rPr>
        <w:t>9. VIGÊNCIA</w:t>
      </w:r>
    </w:p>
    <w:p w14:paraId="448AB5F3" w14:textId="77777777" w:rsidR="00F93313" w:rsidRDefault="0062302B" w:rsidP="00A27715">
      <w:pPr>
        <w:spacing w:before="80" w:after="80"/>
        <w:jc w:val="both"/>
      </w:pPr>
      <w:r>
        <w:t xml:space="preserve">Este contrato entra em vigor na data de assinatura e encerra-se com a conclusão do </w:t>
      </w:r>
      <w:proofErr w:type="spellStart"/>
      <w:r>
        <w:t>handoff</w:t>
      </w:r>
      <w:proofErr w:type="spellEnd"/>
      <w:r>
        <w:t xml:space="preserve"> e quitação integral do valor estipulado na Cláusula 4.</w:t>
      </w:r>
    </w:p>
    <w:p w14:paraId="18730FE9" w14:textId="77777777" w:rsidR="00F93313" w:rsidRDefault="00F93313">
      <w:pPr>
        <w:spacing w:before="320"/>
      </w:pPr>
    </w:p>
    <w:p w14:paraId="11360EF3" w14:textId="77777777" w:rsidR="00F93313" w:rsidRDefault="0062302B">
      <w:pPr>
        <w:pBdr>
          <w:top w:val="single" w:sz="4" w:space="4" w:color="B8960C"/>
        </w:pBdr>
        <w:spacing w:after="200"/>
      </w:pPr>
      <w:r>
        <w:rPr>
          <w:b/>
          <w:bCs/>
          <w:color w:val="1B2A4A"/>
        </w:rPr>
        <w:t>ASSINATURAS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3"/>
        <w:gridCol w:w="400"/>
        <w:gridCol w:w="4313"/>
      </w:tblGrid>
      <w:tr w:rsidR="00F93313" w14:paraId="0EF0F223" w14:textId="77777777"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1E847AF" w14:textId="77777777" w:rsidR="00F93313" w:rsidRDefault="0062302B">
            <w:r>
              <w:rPr>
                <w:b/>
                <w:bCs/>
                <w:color w:val="1B2A4A"/>
                <w:sz w:val="20"/>
                <w:szCs w:val="20"/>
              </w:rPr>
              <w:t>Contratante</w:t>
            </w:r>
          </w:p>
          <w:p w14:paraId="2712E263" w14:textId="77777777" w:rsidR="00F93313" w:rsidRDefault="00F93313">
            <w:pPr>
              <w:spacing w:before="400"/>
            </w:pPr>
          </w:p>
          <w:p w14:paraId="1A83B354" w14:textId="77777777" w:rsidR="00F93313" w:rsidRDefault="0062302B">
            <w:pPr>
              <w:pBdr>
                <w:top w:val="single" w:sz="4" w:space="4" w:color="888888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[Nome completo de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Valdece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  <w:p w14:paraId="49835C4E" w14:textId="77777777" w:rsidR="00F93313" w:rsidRDefault="0062302B">
            <w:r>
              <w:rPr>
                <w:color w:val="888888"/>
                <w:sz w:val="20"/>
                <w:szCs w:val="20"/>
              </w:rPr>
              <w:t>Data: ___/___/______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78FE6B" w14:textId="77777777" w:rsidR="00F93313" w:rsidRDefault="00F93313"/>
        </w:tc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FC51FCB" w14:textId="77777777" w:rsidR="00F93313" w:rsidRDefault="0062302B">
            <w:r>
              <w:rPr>
                <w:b/>
                <w:bCs/>
                <w:color w:val="1B2A4A"/>
                <w:sz w:val="20"/>
                <w:szCs w:val="20"/>
              </w:rPr>
              <w:t>Contratado</w:t>
            </w:r>
          </w:p>
          <w:p w14:paraId="78618F2D" w14:textId="77777777" w:rsidR="00F93313" w:rsidRDefault="00F93313">
            <w:pPr>
              <w:spacing w:before="400"/>
            </w:pPr>
          </w:p>
          <w:p w14:paraId="51BEA8DC" w14:textId="77777777" w:rsidR="00F93313" w:rsidRDefault="0062302B">
            <w:pPr>
              <w:pBdr>
                <w:top w:val="single" w:sz="4" w:space="4" w:color="888888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>Eduardo [Sobrenome] — Vanguard Tech</w:t>
            </w:r>
          </w:p>
          <w:p w14:paraId="1A60CEF9" w14:textId="77777777" w:rsidR="00F93313" w:rsidRDefault="0062302B">
            <w:r>
              <w:rPr>
                <w:color w:val="888888"/>
                <w:sz w:val="20"/>
                <w:szCs w:val="20"/>
              </w:rPr>
              <w:t>Data: ___/___/______</w:t>
            </w:r>
          </w:p>
        </w:tc>
      </w:tr>
    </w:tbl>
    <w:p w14:paraId="4C85EDB9" w14:textId="77777777" w:rsidR="00F93313" w:rsidRDefault="00F93313">
      <w:pPr>
        <w:spacing w:before="200"/>
      </w:pPr>
    </w:p>
    <w:p w14:paraId="48FDB736" w14:textId="77777777" w:rsidR="00F93313" w:rsidRDefault="0062302B">
      <w:pPr>
        <w:spacing w:before="160"/>
        <w:jc w:val="center"/>
      </w:pPr>
      <w:r>
        <w:rPr>
          <w:i/>
          <w:iCs/>
          <w:color w:val="AAAAAA"/>
          <w:sz w:val="18"/>
          <w:szCs w:val="18"/>
        </w:rPr>
        <w:t>Quadrilateral IAH · Vanguard Tech · 2026</w:t>
      </w:r>
    </w:p>
    <w:sectPr w:rsidR="00F933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50D1C"/>
    <w:multiLevelType w:val="hybridMultilevel"/>
    <w:tmpl w:val="3CE48A96"/>
    <w:lvl w:ilvl="0" w:tplc="314233E8">
      <w:start w:val="1"/>
      <w:numFmt w:val="bullet"/>
      <w:lvlText w:val="●"/>
      <w:lvlJc w:val="left"/>
      <w:pPr>
        <w:ind w:left="720" w:hanging="360"/>
      </w:pPr>
    </w:lvl>
    <w:lvl w:ilvl="1" w:tplc="9E1883C2">
      <w:start w:val="1"/>
      <w:numFmt w:val="bullet"/>
      <w:lvlText w:val="○"/>
      <w:lvlJc w:val="left"/>
      <w:pPr>
        <w:ind w:left="1440" w:hanging="360"/>
      </w:pPr>
    </w:lvl>
    <w:lvl w:ilvl="2" w:tplc="26DE864E">
      <w:start w:val="1"/>
      <w:numFmt w:val="bullet"/>
      <w:lvlText w:val="■"/>
      <w:lvlJc w:val="left"/>
      <w:pPr>
        <w:ind w:left="2160" w:hanging="360"/>
      </w:pPr>
    </w:lvl>
    <w:lvl w:ilvl="3" w:tplc="FF84F46E">
      <w:start w:val="1"/>
      <w:numFmt w:val="bullet"/>
      <w:lvlText w:val="●"/>
      <w:lvlJc w:val="left"/>
      <w:pPr>
        <w:ind w:left="2880" w:hanging="360"/>
      </w:pPr>
    </w:lvl>
    <w:lvl w:ilvl="4" w:tplc="E58CC6B6">
      <w:start w:val="1"/>
      <w:numFmt w:val="bullet"/>
      <w:lvlText w:val="○"/>
      <w:lvlJc w:val="left"/>
      <w:pPr>
        <w:ind w:left="3600" w:hanging="360"/>
      </w:pPr>
    </w:lvl>
    <w:lvl w:ilvl="5" w:tplc="B4605D96">
      <w:start w:val="1"/>
      <w:numFmt w:val="bullet"/>
      <w:lvlText w:val="■"/>
      <w:lvlJc w:val="left"/>
      <w:pPr>
        <w:ind w:left="4320" w:hanging="360"/>
      </w:pPr>
    </w:lvl>
    <w:lvl w:ilvl="6" w:tplc="A32C49B4">
      <w:start w:val="1"/>
      <w:numFmt w:val="bullet"/>
      <w:lvlText w:val="●"/>
      <w:lvlJc w:val="left"/>
      <w:pPr>
        <w:ind w:left="5040" w:hanging="360"/>
      </w:pPr>
    </w:lvl>
    <w:lvl w:ilvl="7" w:tplc="CD34DB0A">
      <w:start w:val="1"/>
      <w:numFmt w:val="bullet"/>
      <w:lvlText w:val="●"/>
      <w:lvlJc w:val="left"/>
      <w:pPr>
        <w:ind w:left="5760" w:hanging="360"/>
      </w:pPr>
    </w:lvl>
    <w:lvl w:ilvl="8" w:tplc="867008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444D4D"/>
    <w:multiLevelType w:val="hybridMultilevel"/>
    <w:tmpl w:val="9A7614D8"/>
    <w:lvl w:ilvl="0" w:tplc="041CF912">
      <w:start w:val="1"/>
      <w:numFmt w:val="bullet"/>
      <w:lvlText w:val="–"/>
      <w:lvlJc w:val="left"/>
      <w:pPr>
        <w:ind w:left="600" w:hanging="300"/>
      </w:pPr>
    </w:lvl>
    <w:lvl w:ilvl="1" w:tplc="E35CC03E">
      <w:numFmt w:val="decimal"/>
      <w:lvlText w:val=""/>
      <w:lvlJc w:val="left"/>
    </w:lvl>
    <w:lvl w:ilvl="2" w:tplc="ACACE71A">
      <w:numFmt w:val="decimal"/>
      <w:lvlText w:val=""/>
      <w:lvlJc w:val="left"/>
    </w:lvl>
    <w:lvl w:ilvl="3" w:tplc="9558EE4E">
      <w:numFmt w:val="decimal"/>
      <w:lvlText w:val=""/>
      <w:lvlJc w:val="left"/>
    </w:lvl>
    <w:lvl w:ilvl="4" w:tplc="D33898CC">
      <w:numFmt w:val="decimal"/>
      <w:lvlText w:val=""/>
      <w:lvlJc w:val="left"/>
    </w:lvl>
    <w:lvl w:ilvl="5" w:tplc="39061C8C">
      <w:numFmt w:val="decimal"/>
      <w:lvlText w:val=""/>
      <w:lvlJc w:val="left"/>
    </w:lvl>
    <w:lvl w:ilvl="6" w:tplc="B1DCD828">
      <w:numFmt w:val="decimal"/>
      <w:lvlText w:val=""/>
      <w:lvlJc w:val="left"/>
    </w:lvl>
    <w:lvl w:ilvl="7" w:tplc="1FD4858E">
      <w:numFmt w:val="decimal"/>
      <w:lvlText w:val=""/>
      <w:lvlJc w:val="left"/>
    </w:lvl>
    <w:lvl w:ilvl="8" w:tplc="34C01E6E">
      <w:numFmt w:val="decimal"/>
      <w:lvlText w:val=""/>
      <w:lvlJc w:val="left"/>
    </w:lvl>
  </w:abstractNum>
  <w:num w:numId="1" w16cid:durableId="632364720">
    <w:abstractNumId w:val="0"/>
    <w:lvlOverride w:ilvl="0">
      <w:startOverride w:val="1"/>
    </w:lvlOverride>
  </w:num>
  <w:num w:numId="2" w16cid:durableId="16173296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313"/>
    <w:rsid w:val="00242D2D"/>
    <w:rsid w:val="0062302B"/>
    <w:rsid w:val="006C57AD"/>
    <w:rsid w:val="0071251B"/>
    <w:rsid w:val="00A27715"/>
    <w:rsid w:val="00D9043C"/>
    <w:rsid w:val="00F9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3F27A"/>
  <w15:docId w15:val="{82900F83-285C-4217-BF2F-32C98CAA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562</Words>
  <Characters>3215</Characters>
  <Application>Microsoft Office Word</Application>
  <DocSecurity>0</DocSecurity>
  <Lines>95</Lines>
  <Paragraphs>55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Andrade</cp:lastModifiedBy>
  <cp:revision>3</cp:revision>
  <cp:lastPrinted>2026-05-16T23:53:00Z</cp:lastPrinted>
  <dcterms:created xsi:type="dcterms:W3CDTF">2026-05-16T23:57:00Z</dcterms:created>
  <dcterms:modified xsi:type="dcterms:W3CDTF">2026-05-18T02:46:00Z</dcterms:modified>
</cp:coreProperties>
</file>