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Liberation Sans" w:hAnsi="Liberation Sans"/>
          <w:b/>
          <w:color w:val="17324D"/>
          <w:sz w:val="68"/>
        </w:rPr>
        <w:t>TurnTable</w:t>
      </w:r>
    </w:p>
    <w:p>
      <w:r>
        <w:rPr>
          <w:b/>
          <w:color w:val="1F7A8C"/>
          <w:sz w:val="44"/>
        </w:rPr>
        <w:t>Coding Handoff Guide</w:t>
      </w:r>
    </w:p>
    <w:p>
      <w:r>
        <w:t>How to use the specification package before implementation begins</w:t>
      </w:r>
    </w:p>
    <w:p>
      <w:r>
        <w:t>Status: Coding handoff baseline</w:t>
      </w:r>
    </w:p>
    <w:p>
      <w:r>
        <w:t>Version: 1.0</w:t>
      </w:r>
    </w:p>
    <w:p>
      <w:r>
        <w:t>Baseline date: 8 August 2026</w:t>
      </w:r>
    </w:p>
    <w:p>
      <w:r>
        <w:t>Product: TurnTable - shared household coordination, responsibilities, expenses, settlements, and analytics</w:t>
      </w:r>
    </w:p>
    <w:p>
      <w:r>
        <w:br w:type="page"/>
      </w:r>
    </w:p>
    <w:p>
      <w:pPr>
        <w:pStyle w:val="Heading1"/>
      </w:pPr>
      <w:r>
        <w:t>Purpose</w:t>
      </w:r>
    </w:p>
    <w:p>
      <w:r>
        <w:t>This package removes the major sources of ambiguity between product intent and implementation. The existing Engineering Specification defines architecture and technology. The companion documents freeze MVP behavior, persistence semantics, API contracts, screen behavior, acceptance criteria, and analytics definitions.</w:t>
      </w:r>
    </w:p>
    <w:tbl>
      <w:tblPr>
        <w:tblW w:type="auto" w:w="0"/>
        <w:tblLook w:firstColumn="1" w:firstRow="1" w:lastColumn="0" w:lastRow="0" w:noHBand="0" w:noVBand="1" w:val="04A0"/>
      </w:tblPr>
      <w:tblGrid>
        <w:gridCol w:w="10080"/>
      </w:tblGrid>
      <w:tr>
        <w:tc>
          <w:tcPr>
            <w:tcW w:type="dxa" w:w="10080"/>
            <w:shd w:fill="EAF5ED"/>
            <w:tcBorders>
              <w:top w:val="single" w:sz="4" w:color="2F6F44"/>
              <w:left w:val="single" w:sz="4" w:color="2F6F44"/>
              <w:bottom w:val="single" w:sz="4" w:color="2F6F44"/>
              <w:right w:val="single" w:sz="4" w:color="2F6F44"/>
            </w:tcBorders>
          </w:tcPr>
          <w:p>
            <w:r>
              <w:rPr>
                <w:b/>
                <w:color w:val="2F6F44"/>
              </w:rPr>
              <w:t>Coding start decision</w:t>
              <w:br/>
            </w:r>
            <w:r>
              <w:t>A software engineer may begin Phase 0 immediately using this package. Do not invent alternate business semantics when a rule is defined here. A change to a frozen rule requires an ADR or product decision before implementation diverges.</w:t>
            </w:r>
          </w:p>
        </w:tc>
      </w:tr>
    </w:tbl>
    <w:p>
      <w:pPr>
        <w:pStyle w:val="Heading1"/>
      </w:pPr>
      <w:r>
        <w:t>Package contents and reading order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tcPr>
          <w:p>
            <w:r>
              <w:rPr>
                <w:rFonts w:ascii="Liberation Sans" w:hAnsi="Liberation Sans"/>
                <w:b/>
                <w:color w:val="FFFFFF"/>
                <w:sz w:val="14"/>
              </w:rPr>
              <w:t>#</w:t>
            </w:r>
          </w:p>
        </w:tc>
        <w:tc>
          <w:tcPr>
            <w:tcW w:type="dxa" w:w="2520"/>
            <w:shd w:fill="17324D"/>
          </w:tcPr>
          <w:p>
            <w:r>
              <w:rPr>
                <w:rFonts w:ascii="Liberation Sans" w:hAnsi="Liberation Sans"/>
                <w:b/>
                <w:color w:val="FFFFFF"/>
                <w:sz w:val="14"/>
              </w:rPr>
              <w:t>Artifact</w:t>
            </w:r>
          </w:p>
        </w:tc>
        <w:tc>
          <w:tcPr>
            <w:tcW w:type="dxa" w:w="2520"/>
            <w:shd w:fill="17324D"/>
          </w:tcPr>
          <w:p>
            <w:r>
              <w:rPr>
                <w:rFonts w:ascii="Liberation Sans" w:hAnsi="Liberation Sans"/>
                <w:b/>
                <w:color w:val="FFFFFF"/>
                <w:sz w:val="14"/>
              </w:rPr>
              <w:t>Purpose</w:t>
            </w:r>
          </w:p>
        </w:tc>
        <w:tc>
          <w:tcPr>
            <w:tcW w:type="dxa" w:w="2520"/>
            <w:shd w:fill="17324D"/>
          </w:tcPr>
          <w:p>
            <w:r>
              <w:rPr>
                <w:rFonts w:ascii="Liberation Sans" w:hAnsi="Liberation Sans"/>
                <w:b/>
                <w:color w:val="FFFFFF"/>
                <w:sz w:val="14"/>
              </w:rPr>
              <w:t>Primary users</w:t>
            </w:r>
          </w:p>
        </w:tc>
      </w:tr>
      <w:tr>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01</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Engineering Specification</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Architecture, stack, modules, security, CI/CD, operations, delivery phases.</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All engineers</w:t>
            </w:r>
          </w:p>
        </w:tc>
      </w:tr>
      <w:tr>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02</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Product &amp; Business Rules</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Exact MVP behavior for chores, swaps, away periods, expenses, settlements, notifications.</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Backend, frontend, QA, product</w:t>
            </w:r>
          </w:p>
        </w:tc>
      </w:tr>
      <w:tr>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03</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Data Model &amp; Database</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Physical model, fields, constraints, indexes, transactions, retention.</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Backend, data, QA</w:t>
            </w:r>
          </w:p>
        </w:tc>
      </w:tr>
      <w:tr>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04</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API Contract &amp; Integration</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REST conventions, endpoint catalog, schemas, errors, idempotency, concurrency, events.</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Backend, web, mobile, QA</w:t>
            </w:r>
          </w:p>
        </w:tc>
      </w:tr>
      <w:tr>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04a</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OpenAPI 3.1 YAML</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Machine-readable contract used for generated clients/contract tests.</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Backend, clients, QA</w:t>
            </w:r>
          </w:p>
        </w:tc>
      </w:tr>
      <w:tr>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05</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UX Flows &amp; Screen Specification</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Navigation, screens, forms, states, deep links, accessibility.</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Web, mobile, QA</w:t>
            </w:r>
          </w:p>
        </w:tc>
      </w:tr>
      <w:tr>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06</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Acceptance Criteria &amp; Test Scenarios</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Given/When/Then definition of feature completion.</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All engineers, QA</w:t>
            </w:r>
          </w:p>
        </w:tc>
      </w:tr>
      <w:tr>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07</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Analytics &amp; Visualization Specification</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Metric formulas, charts, insight rules, reconciliation.</w:t>
            </w:r>
          </w:p>
        </w:tc>
        <w:tc>
          <w:tcPr>
            <w:tcW w:type="dxa" w:w="2520"/>
            <w:vAlign w:val="top"/>
            <w:tcBorders>
              <w:top w:val="single" w:sz="4" w:color="C9D4DC"/>
              <w:left w:val="single" w:sz="4" w:color="C9D4DC"/>
              <w:bottom w:val="single" w:sz="4" w:color="C9D4DC"/>
              <w:right w:val="single" w:sz="4" w:color="C9D4DC"/>
            </w:tcBorders>
          </w:tcPr>
          <w:p>
            <w:r>
              <w:rPr>
                <w:rFonts w:ascii="Liberation Sans" w:hAnsi="Liberation Sans"/>
                <w:sz w:val="14"/>
              </w:rPr>
              <w:t>Backend, web, mobile, QA</w:t>
            </w:r>
          </w:p>
        </w:tc>
      </w:tr>
    </w:tbl>
    <w:p>
      <w:pPr>
        <w:pStyle w:val="Heading1"/>
      </w:pPr>
      <w:r>
        <w:t>Frozen MVP decisions</w:t>
      </w:r>
    </w:p>
    <w:p>
      <w:pPr>
        <w:pStyle w:val="ListBullet"/>
      </w:pPr>
      <w:r>
        <w:t>Backend is a client-agnostic REST API; web and mobile consume the same contract. Next.js must not become a second business backend.</w:t>
      </w:r>
    </w:p>
    <w:p>
      <w:pPr>
        <w:pStyle w:val="ListBullet"/>
      </w:pPr>
      <w:r>
        <w:t>Architecture is an API-first modular monolith with a separately deployable async worker; no microservices for MVP.</w:t>
      </w:r>
    </w:p>
    <w:p>
      <w:pPr>
        <w:pStyle w:val="ListBullet"/>
      </w:pPr>
      <w:r>
        <w:t>Private personal-budget tracking is outside MVP. “My spending” means the member’s allocated share of household expenses; “I paid” means amounts fronted as payer.</w:t>
      </w:r>
    </w:p>
    <w:p>
      <w:pPr>
        <w:pStyle w:val="ListBullet"/>
      </w:pPr>
      <w:r>
        <w:t>Recurring responsibilities materialize concrete task occurrences. Swaps/covers modify occurrences, never the recurring definition.</w:t>
      </w:r>
    </w:p>
    <w:p>
      <w:pPr>
        <w:pStyle w:val="ListBullet"/>
      </w:pPr>
      <w:r>
        <w:t>Missed chores are not silently reassigned. They remain scheduled and are shown as overdue until completed, skipped, or canceled.</w:t>
      </w:r>
    </w:p>
    <w:p>
      <w:pPr>
        <w:pStyle w:val="ListBullet"/>
      </w:pPr>
      <w:r>
        <w:t>Round-robin skips inactive/away members without consuming an assignment for them; the cursor advances after the member actually assigned.</w:t>
      </w:r>
    </w:p>
    <w:p>
      <w:pPr>
        <w:pStyle w:val="ListBullet"/>
      </w:pPr>
      <w:r>
        <w:t>MVP SWAP exchanges assignees between two future incomplete occurrences of the same task. COVER changes only the source occurrence.</w:t>
      </w:r>
    </w:p>
    <w:p>
      <w:pPr>
        <w:pStyle w:val="ListBullet"/>
      </w:pPr>
      <w:r>
        <w:t>One pending swap/cover request is allowed per source occurrence; duplicate acceptance is idempotent.</w:t>
      </w:r>
    </w:p>
    <w:p>
      <w:pPr>
        <w:pStyle w:val="ListBullet"/>
      </w:pPr>
      <w:r>
        <w:t>Financial amounts are integer minor units in one household currency; expense splits persist exact resolved amounts.</w:t>
      </w:r>
    </w:p>
    <w:p>
      <w:pPr>
        <w:pStyle w:val="ListBullet"/>
      </w:pPr>
      <w:r>
        <w:t>Expenses and settlements are voided rather than hard-deleted through normal product flows, with immutable activity history.</w:t>
      </w:r>
    </w:p>
    <w:p>
      <w:pPr>
        <w:pStyle w:val="ListBullet"/>
      </w:pPr>
      <w:r>
        <w:t>Settlement suggestions derive from net balances. Partial settlement is allowed but may not exceed the current payer-to-receiver suggestion.</w:t>
      </w:r>
    </w:p>
    <w:p>
      <w:pPr>
        <w:pStyle w:val="ListBullet"/>
      </w:pPr>
      <w:r>
        <w:t>Analytics are deterministic and explainable; generative AI does not calculate balances, assignment truth, or metric values.</w:t>
      </w:r>
    </w:p>
    <w:p>
      <w:pPr>
        <w:pStyle w:val="Heading1"/>
      </w:pPr>
      <w:r>
        <w:t>Coding start gate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Pr>
          <w:p>
            <w:r>
              <w:rPr>
                <w:rFonts w:ascii="Liberation Sans" w:hAnsi="Liberation Sans"/>
                <w:b/>
                <w:color w:val="FFFFFF"/>
                <w:sz w:val="16"/>
              </w:rPr>
              <w:t>Gate</w:t>
            </w:r>
          </w:p>
        </w:tc>
        <w:tc>
          <w:tcPr>
            <w:tcW w:type="dxa" w:w="5040"/>
            <w:shd w:fill="17324D"/>
          </w:tcPr>
          <w:p>
            <w:r>
              <w:rPr>
                <w:rFonts w:ascii="Liberation Sans" w:hAnsi="Liberation Sans"/>
                <w:b/>
                <w:color w:val="FFFFFF"/>
                <w:sz w:val="16"/>
              </w:rPr>
              <w:t>Required condition</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Repository</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Monorepo follows Engineering Specification; protected CI checks enabled.</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Decisions</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Engineer has read Business Rules and no first-slice rule is unresolved.</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Contract</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OpenAPI baseline committed; generation/diff checks wired before clients.</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Database</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Initial schema implemented from Data Model with constraints/migration tests.</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Identity</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Development OIDC tenant/application exists; no custom password storage.</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Local infrastructure</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PostgreSQL and Redis available via Compose/Testcontainers.</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Testing</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Integration harness uses real PostgreSQL/Redis containers.</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Telemetry</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Structured logs, request IDs and OpenTelemetry bootstrap exist from first endpoint.</w:t>
            </w:r>
          </w:p>
        </w:tc>
      </w:tr>
    </w:tbl>
    <w:p>
      <w:pPr>
        <w:pStyle w:val="Heading1"/>
      </w:pPr>
      <w:r>
        <w:t>Recommended implementation sequence</w:t>
      </w:r>
    </w:p>
    <w:p>
      <w:pPr>
        <w:pStyle w:val="ListNumber"/>
      </w:pPr>
      <w:r>
        <w:t>Foundation: workspace, CI, API/worker skeleton, PostgreSQL/Redis, OIDC, OpenAPI, telemetry.</w:t>
      </w:r>
    </w:p>
    <w:p>
      <w:pPr>
        <w:pStyle w:val="ListNumber"/>
      </w:pPr>
      <w:r>
        <w:t>Household vertical slice: create household, membership, invite/join, household-scoped authorization.</w:t>
      </w:r>
    </w:p>
    <w:p>
      <w:pPr>
        <w:pStyle w:val="ListNumber"/>
      </w:pPr>
      <w:r>
        <w:t>Responsibility vertical slice: task create/edit, recurrence, round-robin assignment, occurrences, completion, away periods.</w:t>
      </w:r>
    </w:p>
    <w:p>
      <w:pPr>
        <w:pStyle w:val="ListNumber"/>
      </w:pPr>
      <w:r>
        <w:t>Swap/notification vertical slice: request/accept/decline/cancel, outbox, worker, push reminders.</w:t>
      </w:r>
    </w:p>
    <w:p>
      <w:pPr>
        <w:pStyle w:val="ListNumber"/>
      </w:pPr>
      <w:r>
        <w:t>Expense vertical slice: expense creation, four split modes, validation, edit/void audit, balances.</w:t>
      </w:r>
    </w:p>
    <w:p>
      <w:pPr>
        <w:pStyle w:val="ListNumber"/>
      </w:pPr>
      <w:r>
        <w:t>Settlement vertical slice: deterministic suggestions, partial settlements, voiding and reconciliation.</w:t>
      </w:r>
    </w:p>
    <w:p>
      <w:pPr>
        <w:pStyle w:val="ListNumber"/>
      </w:pPr>
      <w:r>
        <w:t>Analytics vertical slice: aggregates, deterministic insights, chart-ready DTOs, dashboards.</w:t>
      </w:r>
    </w:p>
    <w:p>
      <w:pPr>
        <w:pStyle w:val="ListNumber"/>
      </w:pPr>
      <w:r>
        <w:t>Beta hardening: E2E, accessibility, rate limits, backup restore drill, security review, app-store builds.</w:t>
      </w:r>
    </w:p>
    <w:p>
      <w:pPr>
        <w:pStyle w:val="Heading1"/>
      </w:pPr>
      <w:r>
        <w:t>Change-control rule</w:t>
      </w:r>
    </w:p>
    <w:p>
      <w:r>
        <w:t>Any change affecting API compatibility, money semantics, recurrence/rotation, authorization, durability, or user-visible metric interpretation must be captured as an ADR or versioned product decision before implementation diverges.</w:t>
      </w:r>
    </w:p>
    <w:p>
      <w:pPr>
        <w:pStyle w:val="Heading1"/>
      </w:pPr>
      <w:r>
        <w:t>Definition of implementation-ready</w:t>
      </w:r>
    </w:p>
    <w:p>
      <w:r>
        <w:t>A feature is implementation-ready when behavior exists in the Business Rules, persistence exists in the Data Model, the API operation exists in the API Contract, the user interaction exists in the UX Specification, and at least one acceptance scenario exists. Analytics features additionally require a metric definition in the Analytics Specification.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Label"/>
    </w:pPr>
    <w:r>
      <w:t>Implementation handoff | Baseline 8 August 2026</w:t>
    </w:r>
  </w:p>
  <w:p>
    <w:pP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Label"/>
    </w:pPr>
    <w:r>
      <w:t>TURNTABLE | CODING HANDOFF GUIDE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Liberation Sans" w:hAnsi="Liberation Sans"/>
      <w:color w:val="1D252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F7A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Liberation Sans" w:hAnsi="Liberation Sans"/>
      <w:b/>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