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Liberation Sans" w:hAnsi="Liberation Sans"/>
          <w:b/>
          <w:color w:val="17324D"/>
          <w:sz w:val="68"/>
        </w:rPr>
        <w:t>TurnTable</w:t>
      </w:r>
    </w:p>
    <w:p>
      <w:r>
        <w:rPr>
          <w:b/>
          <w:color w:val="1F7A8C"/>
          <w:sz w:val="44"/>
        </w:rPr>
        <w:t>Product &amp; Business Rules Specification</w:t>
      </w:r>
    </w:p>
    <w:p>
      <w:r>
        <w:t>Normative MVP behavior; product decisions engineers must not infer</w:t>
      </w:r>
    </w:p>
    <w:p>
      <w:r>
        <w:t>Status: Coding handoff baseline</w:t>
      </w:r>
    </w:p>
    <w:p>
      <w:r>
        <w:t>Version: 1.0</w:t>
      </w:r>
    </w:p>
    <w:p>
      <w:r>
        <w:t>Baseline date: 8 August 2026</w:t>
      </w:r>
    </w:p>
    <w:p>
      <w:r>
        <w:t>Product: TurnTable - shared household coordination, responsibilities, expenses, settlements, and analytics</w:t>
      </w:r>
    </w:p>
    <w:p>
      <w:r>
        <w:br w:type="page"/>
      </w:r>
    </w:p>
    <w:p>
      <w:pPr>
        <w:pStyle w:val="Heading1"/>
      </w:pPr>
      <w:r>
        <w:t>1. Product objective</w:t>
      </w:r>
    </w:p>
    <w:p>
      <w:r>
        <w:t>TurnTable coordinates shared living around two truths: responsibility (“whose turn is it?”) and household money (“who owes whom?”). The MVP must make those answers reliable, auditable, and easy to act on. Convenience features are secondary to correctness.</w:t>
      </w:r>
    </w:p>
    <w:p>
      <w:pPr>
        <w:pStyle w:val="Heading1"/>
      </w:pPr>
      <w:r>
        <w:t>2. Actors and terminology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Pr>
          <w:p>
            <w:r>
              <w:rPr>
                <w:rFonts w:ascii="Liberation Sans" w:hAnsi="Liberation Sans"/>
                <w:b/>
                <w:color w:val="FFFFFF"/>
                <w:sz w:val="16"/>
              </w:rPr>
              <w:t>Term</w:t>
            </w:r>
          </w:p>
        </w:tc>
        <w:tc>
          <w:tcPr>
            <w:tcW w:type="dxa" w:w="5040"/>
            <w:shd w:fill="17324D"/>
          </w:tcPr>
          <w:p>
            <w:r>
              <w:rPr>
                <w:rFonts w:ascii="Liberation Sans" w:hAnsi="Liberation Sans"/>
                <w:b/>
                <w:color w:val="FFFFFF"/>
                <w:sz w:val="16"/>
              </w:rPr>
              <w:t>Normative meaning</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User</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Authenticated account from the external OIDC provider.</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Household</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Shared-living group with one default time zone and one default currency.</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Member</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A user’s household membership; permissions are household-scoped.</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Owner</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Exactly one active membership with OWNER role.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Task</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Recurring or one-off responsibility definition.</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Task occurrence</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Concrete responsibility at a particular due date/time.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Nominal assignee</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Member selected by base rotation/fixed assignment before swaps/covers.</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Current assignee</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Member responsible after any accepted swap/cover.</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Swap</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Exchange of current assignees between two future occurrences of the same task.</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Cover</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One member takes another member’s occurrence without receiving an occurrence in exchange.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Expense split</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Exact shared-expense amount allocated to one member.</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Settlement</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Recorded payment from a debtor member to a creditor member.</w:t>
            </w:r>
          </w:p>
        </w:tc>
      </w:tr>
    </w:tbl>
    <w:p>
      <w:pPr>
        <w:pStyle w:val="Heading1"/>
      </w:pPr>
      <w:r>
        <w:t>3. MVP scope</w:t>
      </w:r>
    </w:p>
    <w:p>
      <w:pPr>
        <w:pStyle w:val="ListBullet"/>
      </w:pPr>
      <w:r>
        <w:t>Create/join households; OWNER/MEMBER roles; invite links/tokens.</w:t>
      </w:r>
    </w:p>
    <w:p>
      <w:pPr>
        <w:pStyle w:val="ListBullet"/>
      </w:pPr>
      <w:r>
        <w:t>Recurring and one-off tasks; ROUND_ROBIN and FIXED assignment.</w:t>
      </w:r>
    </w:p>
    <w:p>
      <w:pPr>
        <w:pStyle w:val="ListBullet"/>
      </w:pPr>
      <w:r>
        <w:t>Away periods that exclude members from new assignments.</w:t>
      </w:r>
    </w:p>
    <w:p>
      <w:pPr>
        <w:pStyle w:val="ListBullet"/>
      </w:pPr>
      <w:r>
        <w:t>Task completion, skip, swap, cover, reminders, activity feed.</w:t>
      </w:r>
    </w:p>
    <w:p>
      <w:pPr>
        <w:pStyle w:val="ListBullet"/>
      </w:pPr>
      <w:r>
        <w:t>Shared expenses with equal, exact, percentage, and shares splits.</w:t>
      </w:r>
    </w:p>
    <w:p>
      <w:pPr>
        <w:pStyle w:val="ListBullet"/>
      </w:pPr>
      <w:r>
        <w:t>Net balances, deterministic settlement suggestions, partial settlements.</w:t>
      </w:r>
    </w:p>
    <w:p>
      <w:pPr>
        <w:pStyle w:val="ListBullet"/>
      </w:pPr>
      <w:r>
        <w:t>Expense and responsibility dashboards with deterministic insights.</w:t>
      </w:r>
    </w:p>
    <w:p>
      <w:pPr>
        <w:pStyle w:val="ListBullet"/>
      </w:pPr>
      <w:r>
        <w:t>Push notifications and per-household notification preferences.</w:t>
      </w:r>
    </w:p>
    <w:tbl>
      <w:tblPr>
        <w:tblW w:type="auto" w:w="0"/>
        <w:tblLook w:firstColumn="1" w:firstRow="1" w:lastColumn="0" w:lastRow="0" w:noHBand="0" w:noVBand="1" w:val="04A0"/>
      </w:tblPr>
      <w:tblGrid>
        <w:gridCol w:w="10080"/>
      </w:tblGrid>
      <w:tr>
        <w:tc>
          <w:tcPr>
            <w:tcW w:type="dxa" w:w="10080"/>
            <w:shd w:fill="FBECEC"/>
            <w:tcBorders>
              <w:top w:val="single" w:sz="4" w:color="A33232"/>
              <w:left w:val="single" w:sz="4" w:color="A33232"/>
              <w:bottom w:val="single" w:sz="4" w:color="A33232"/>
              <w:right w:val="single" w:sz="4" w:color="A33232"/>
            </w:tcBorders>
          </w:tcPr>
          <w:p>
            <w:r>
              <w:rPr>
                <w:b/>
                <w:color w:val="A33232"/>
              </w:rPr>
              <w:t>Explicitly out of MVP</w:t>
              <w:br/>
            </w:r>
            <w:r>
              <w:t>Private personal expense ledger, banking/card integrations, receipt OCR, multi-currency netting, chore marketplace/points, household chat, shopping-list inventory, payment custody, AI-calculated balances, microservices.</w:t>
            </w:r>
          </w:p>
        </w:tc>
      </w:tr>
    </w:tbl>
    <w:p>
      <w:pPr>
        <w:pStyle w:val="Heading1"/>
      </w:pPr>
      <w:r>
        <w:t>4. Global business rules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Pr>
          <w:p>
            <w:r>
              <w:rPr>
                <w:rFonts w:ascii="Liberation Sans" w:hAnsi="Liberation Sans"/>
                <w:b/>
                <w:color w:val="FFFFFF"/>
                <w:sz w:val="15"/>
              </w:rPr>
              <w:t>Rule</w:t>
            </w:r>
          </w:p>
        </w:tc>
        <w:tc>
          <w:tcPr>
            <w:tcW w:type="dxa" w:w="3360"/>
            <w:shd w:fill="17324D"/>
          </w:tcPr>
          <w:p>
            <w:r>
              <w:rPr>
                <w:rFonts w:ascii="Liberation Sans" w:hAnsi="Liberation Sans"/>
                <w:b/>
                <w:color w:val="FFFFFF"/>
                <w:sz w:val="15"/>
              </w:rPr>
              <w:t>Area</w:t>
            </w:r>
          </w:p>
        </w:tc>
        <w:tc>
          <w:tcPr>
            <w:tcW w:type="dxa" w:w="3360"/>
            <w:shd w:fill="17324D"/>
          </w:tcPr>
          <w:p>
            <w:r>
              <w:rPr>
                <w:rFonts w:ascii="Liberation Sans" w:hAnsi="Liberation Sans"/>
                <w:b/>
                <w:color w:val="FFFFFF"/>
                <w:sz w:val="15"/>
              </w:rPr>
              <w:t>Decision</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BR-G-001</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Household time</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Evaluate recurrence/local-date behavior in the task/household IANA time zone; persist instants in UTC.</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BR-G-002</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Money</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Use integer minor units plus ISO currency; never binary floating point.</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BR-G-003</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Membership</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Historical records retain former members; leaving/removal stops future eligibility but does not erase history.</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BR-G-004</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Authorization</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Every household-owned read/write proves active household membership; object UUID alone is never authorization.</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BR-G-005</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Audit</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Financial, membership, assignment, and swap mutations create immutable activity events.</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BR-G-006</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Deletion</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Archive/void records where history matters; do not hard-delete financial/audit facts in normal flows.</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BR-G-007</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Retries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5"/>
              </w:rPr>
              <w:t>Retry-sensitive commands use client-provided Idempotency-Key values.</w:t>
            </w:r>
          </w:p>
        </w:tc>
      </w:tr>
    </w:tbl>
    <w:p>
      <w:pPr>
        <w:pStyle w:val="Heading1"/>
      </w:pPr>
      <w:r>
        <w:t>5. Household lifecycle</w:t>
      </w:r>
    </w:p>
    <w:p>
      <w:pPr>
        <w:pStyle w:val="ListNumber"/>
      </w:pPr>
      <w:r>
        <w:t>Creator supplies household name, IANA time zone, and ISO currency and becomes OWNER.</w:t>
      </w:r>
    </w:p>
    <w:p>
      <w:pPr>
        <w:pStyle w:val="ListNumber"/>
      </w:pPr>
      <w:r>
        <w:t>OWNER creates a single-use invitation; server stores only a token hash and expiry.</w:t>
      </w:r>
    </w:p>
    <w:p>
      <w:pPr>
        <w:pStyle w:val="ListNumber"/>
      </w:pPr>
      <w:r>
        <w:t>Authenticated user accepts a valid invitation and becomes ACTIVE MEMBER.</w:t>
      </w:r>
    </w:p>
    <w:p>
      <w:pPr>
        <w:pStyle w:val="ListNumber"/>
      </w:pPr>
      <w:r>
        <w:t>A household always has exactly one active OWNER. Owner cannot leave until ownership transfers or household closure is handled.</w:t>
      </w:r>
    </w:p>
    <w:p>
      <w:pPr>
        <w:pStyle w:val="ListNumber"/>
      </w:pPr>
      <w:r>
        <w:t>LEFT/REMOVED members are excluded from new task assignment and new expense splits but remain in historical records.</w:t>
      </w:r>
    </w:p>
    <w:p>
      <w:pPr>
        <w:pStyle w:val="ListNumber"/>
      </w:pPr>
      <w:r>
        <w:t>Removing a member regenerates their future untouched occurrences. Future swapped/manually modified occurrences become unassigned for explicit resolution instead of silently changing an agreement.</w:t>
      </w:r>
    </w:p>
    <w:p>
      <w:pPr>
        <w:pStyle w:val="Heading1"/>
      </w:pPr>
      <w:r>
        <w:t>6. Responsibility scheduling</w:t>
      </w:r>
    </w:p>
    <w:p>
      <w:r>
        <w:drawing>
          <wp:inline xmlns:a="http://schemas.openxmlformats.org/drawingml/2006/main" xmlns:pic="http://schemas.openxmlformats.org/drawingml/2006/picture">
            <wp:extent cx="5669280" cy="1111519"/>
            <wp:docPr id="1" name="Picture 1"/>
            <wp:cNvGraphicFramePr>
              <a:graphicFrameLocks noChangeAspect="1"/>
            </wp:cNvGraphicFramePr>
            <a:graphic>
              <a:graphicData uri="http://schemas.openxmlformats.org/drawingml/2006/picture">
                <pic:pic>
                  <pic:nvPicPr>
                    <pic:cNvPr id="0" name="task_business_flow.png"/>
                    <pic:cNvPicPr/>
                  </pic:nvPicPr>
                  <pic:blipFill>
                    <a:blip r:embed="rId11"/>
                    <a:stretch>
                      <a:fillRect/>
                    </a:stretch>
                  </pic:blipFill>
                  <pic:spPr>
                    <a:xfrm>
                      <a:off x="0" y="0"/>
                      <a:ext cx="5669280" cy="1111519"/>
                    </a:xfrm>
                    <a:prstGeom prst="rect"/>
                  </pic:spPr>
                </pic:pic>
              </a:graphicData>
            </a:graphic>
          </wp:inline>
        </w:drawing>
      </w:r>
    </w:p>
    <w:p>
      <w:pPr>
        <w:jc w:val="center"/>
      </w:pPr>
      <w:r>
        <w:rPr>
          <w:i/>
          <w:color w:val="5B6573"/>
          <w:sz w:val="16"/>
        </w:rPr>
        <w:t>Figure 1. Normative responsibility flow from definition to historical occurrence.</w:t>
      </w:r>
    </w:p>
    <w:p>
      <w:pPr>
        <w:pStyle w:val="Heading2"/>
      </w:pPr>
      <w:r>
        <w:t>6.1 Task definition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Pr>
          <w:p>
            <w:r>
              <w:rPr>
                <w:rFonts w:ascii="Liberation Sans" w:hAnsi="Liberation Sans"/>
                <w:b/>
                <w:color w:val="FFFFFF"/>
                <w:sz w:val="16"/>
              </w:rPr>
              <w:t>Property</w:t>
            </w:r>
          </w:p>
        </w:tc>
        <w:tc>
          <w:tcPr>
            <w:tcW w:type="dxa" w:w="5040"/>
            <w:shd w:fill="17324D"/>
          </w:tcPr>
          <w:p>
            <w:r>
              <w:rPr>
                <w:rFonts w:ascii="Liberation Sans" w:hAnsi="Liberation Sans"/>
                <w:b/>
                <w:color w:val="FFFFFF"/>
                <w:sz w:val="16"/>
              </w:rPr>
              <w:t>Rule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Recurrence</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RFC 5545-compatible RRULE plus start date; one-off tasks omit RRULE.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Due mode</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ALL_DAY or TIME. ALL_DAY is due at local end-of-day; TIME has a local due time.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Assignment</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ROUND_ROBIN or FIXED.</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Rotation</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ROUND_ROBIN has ordered eligible members; FIXED has one assignee.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Reminders</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0-3 explicit offsets in minutes before due.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Weight</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Persist weight; MVP UI fixes weight=1 and does not expose competitive point scoring.</w:t>
            </w:r>
          </w:p>
        </w:tc>
      </w:tr>
    </w:tbl>
    <w:p>
      <w:pPr>
        <w:pStyle w:val="Heading2"/>
      </w:pPr>
      <w:r>
        <w:t>6.2 Occurrence materialization</w:t>
      </w:r>
    </w:p>
    <w:p>
      <w:pPr>
        <w:pStyle w:val="ListNumber"/>
      </w:pPr>
      <w:r>
        <w:t>Materialize a rolling 60-day horizon and extend it daily; one-off tasks create one occurrence.</w:t>
      </w:r>
    </w:p>
    <w:p>
      <w:pPr>
        <w:pStyle w:val="ListNumber"/>
      </w:pPr>
      <w:r>
        <w:t>Expand recurrence in local wall-clock time, then resolve each due instant to UTC. A 7 PM local task remains 7 PM across DST transitions.</w:t>
      </w:r>
    </w:p>
    <w:p>
      <w:pPr>
        <w:pStyle w:val="ListNumber"/>
      </w:pPr>
      <w:r>
        <w:t>ROUND_ROBIN scans from the cursor, skips inactive/away members, assigns the first eligible member, then advances after the member actually assigned.</w:t>
      </w:r>
    </w:p>
    <w:p>
      <w:pPr>
        <w:pStyle w:val="ListNumber"/>
      </w:pPr>
      <w:r>
        <w:t>Skipping an away member does not consume that member’s assignment. When eligible again, the member re-enters from the then-current cursor state.</w:t>
      </w:r>
    </w:p>
    <w:p>
      <w:pPr>
        <w:pStyle w:val="ListNumber"/>
      </w:pPr>
      <w:r>
        <w:t>If no one is eligible, create the occurrence with no assignee and surface UNASSIGNED to OWNER; do not drop it.</w:t>
      </w:r>
    </w:p>
    <w:p>
      <w:pPr>
        <w:pStyle w:val="ListNumber"/>
      </w:pPr>
      <w:r>
        <w:t>Generation inserts missing future occurrences only and never silently overwrites user-modified occurrences.</w:t>
      </w:r>
    </w:p>
    <w:p>
      <w:pPr>
        <w:pStyle w:val="Heading2"/>
      </w:pPr>
      <w:r>
        <w:t>6.3 Occurrence state and missed tasks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Pr>
          <w:p>
            <w:r>
              <w:rPr>
                <w:rFonts w:ascii="Liberation Sans" w:hAnsi="Liberation Sans"/>
                <w:b/>
                <w:color w:val="FFFFFF"/>
                <w:sz w:val="16"/>
              </w:rPr>
              <w:t>State</w:t>
            </w:r>
          </w:p>
        </w:tc>
        <w:tc>
          <w:tcPr>
            <w:tcW w:type="dxa" w:w="5040"/>
            <w:shd w:fill="17324D"/>
          </w:tcPr>
          <w:p>
            <w:r>
              <w:rPr>
                <w:rFonts w:ascii="Liberation Sans" w:hAnsi="Liberation Sans"/>
                <w:b/>
                <w:color w:val="FFFFFF"/>
                <w:sz w:val="16"/>
              </w:rPr>
              <w:t>Rule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SCHEDULED</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Future/current occurrence not completed, skipped, or canceled.</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OVERDUE</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Derived state: SCHEDULED and due_at &lt; now; no stored status-transition job is required.</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COMPLETED</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completed_by_member_id and completed_at are persisted.</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SKIPPED</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Explicit skip with optional reason; no automatic makeup debt.</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CANCELED</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Occurrence intentionally canceled by task edit/archive/owner action.</w:t>
            </w:r>
          </w:p>
        </w:tc>
      </w:tr>
    </w:tbl>
    <w:p>
      <w:r>
        <w:t>A missed responsibility is never automatically reassigned and never silently shifts future rotation. It remains overdue until completed, skipped, or canceled.</w:t>
      </w:r>
    </w:p>
    <w:p>
      <w:pPr>
        <w:pStyle w:val="Heading2"/>
      </w:pPr>
      <w:r>
        <w:t>6.4 Completion and task edits</w:t>
      </w:r>
    </w:p>
    <w:p>
      <w:pPr>
        <w:pStyle w:val="ListBullet"/>
      </w:pPr>
      <w:r>
        <w:t>Current assignee may complete. OWNER may complete on behalf of a member only when the recorded completer is explicit.</w:t>
      </w:r>
    </w:p>
    <w:p>
      <w:pPr>
        <w:pStyle w:val="ListBullet"/>
      </w:pPr>
      <w:r>
        <w:t>Analytics credits completed_by_member_id, not nominal assignee.</w:t>
      </w:r>
    </w:p>
    <w:p>
      <w:pPr>
        <w:pStyle w:val="ListBullet"/>
      </w:pPr>
      <w:r>
        <w:t>Completed occurrence may be reopened by completer or OWNER when no conflicting state blocks it; reopening is audited.</w:t>
      </w:r>
    </w:p>
    <w:p>
      <w:pPr>
        <w:pStyle w:val="ListBullet"/>
      </w:pPr>
      <w:r>
        <w:t>TIME is on-time when completed_at &lt;= due_at. ALL_DAY due_at is local end-of-day converted to UTC.</w:t>
      </w:r>
    </w:p>
    <w:p>
      <w:pPr>
        <w:pStyle w:val="ListBullet"/>
      </w:pPr>
      <w:r>
        <w:t>Title/description/reminder edits do not regenerate assignments. Recurrence/due-time/rotation edits regenerate only future SCHEDULED occurrences with is_user_modified=false.</w:t>
      </w:r>
    </w:p>
    <w:p>
      <w:pPr>
        <w:pStyle w:val="ListBullet"/>
      </w:pPr>
      <w:r>
        <w:t>Archiving a task cancels future untouched occurrences, preserves history, and expires pending swap requests for canceled occurrences.</w:t>
      </w:r>
    </w:p>
    <w:p>
      <w:pPr>
        <w:pStyle w:val="ListBullet"/>
      </w:pPr>
      <w:r>
        <w:t>Household time-zone changes do not silently rewrite existing task zones; UI must explicitly offer applying the new zone to tasks.</w:t>
      </w:r>
    </w:p>
    <w:p>
      <w:pPr>
        <w:pStyle w:val="Heading1"/>
      </w:pPr>
      <w:r>
        <w:t>7. Away periods</w:t>
      </w:r>
    </w:p>
    <w:p>
      <w:pPr>
        <w:pStyle w:val="ListBullet"/>
      </w:pPr>
      <w:r>
        <w:t>Away periods are inclusive local calendar dates in household time zone for MVP.</w:t>
      </w:r>
    </w:p>
    <w:p>
      <w:pPr>
        <w:pStyle w:val="ListBullet"/>
      </w:pPr>
      <w:r>
        <w:t>Away members are excluded from assignment generation on affected local dates.</w:t>
      </w:r>
    </w:p>
    <w:p>
      <w:pPr>
        <w:pStyle w:val="ListBullet"/>
      </w:pPr>
      <w:r>
        <w:t>Creating/removing an away period regenerates only future untouched occurrences in the affected range.</w:t>
      </w:r>
    </w:p>
    <w:p>
      <w:pPr>
        <w:pStyle w:val="ListBullet"/>
      </w:pPr>
      <w:r>
        <w:t>Accepted swaps/covers involving an away member are not silently canceled; warn and require explicit resolution.</w:t>
      </w:r>
    </w:p>
    <w:p>
      <w:pPr>
        <w:pStyle w:val="Heading1"/>
      </w:pPr>
      <w:r>
        <w:t>8. Swap and cover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Pr>
          <w:p>
            <w:r>
              <w:rPr>
                <w:rFonts w:ascii="Liberation Sans" w:hAnsi="Liberation Sans"/>
                <w:b/>
                <w:color w:val="FFFFFF"/>
                <w:sz w:val="15"/>
              </w:rPr>
              <w:t>Rule</w:t>
            </w:r>
          </w:p>
        </w:tc>
        <w:tc>
          <w:tcPr>
            <w:tcW w:type="dxa" w:w="5040"/>
            <w:shd w:fill="17324D"/>
          </w:tcPr>
          <w:p>
            <w:r>
              <w:rPr>
                <w:rFonts w:ascii="Liberation Sans" w:hAnsi="Liberation Sans"/>
                <w:b/>
                <w:color w:val="FFFFFF"/>
                <w:sz w:val="15"/>
              </w:rPr>
              <w:t>Behavior</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SWAP eligibility</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Source/target are future incomplete occurrences in same household and same task, with different current assignees; requester owns one of them.</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COVER eligibility</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Source is future/incomplete; requester is current assignee; target is another active eligible member.</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Pending limit</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At most one PENDING swap/cover per source occurrence.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Expiration</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At earlier of configured expiry and source due time.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Acceptance</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Only target accepts/declines; transaction locks/revalidates request and occurrence rows, mutates assignees, writes activity/outbox, commits once.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Cancellation</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Requester may cancel only while PENDING.</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Future rotation</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Accepted swap/cover never modifies task rotation order or later occurrences.</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Reminders</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5"/>
              </w:rPr>
              <w:t>Jobs reference occurrence ID and re-read current state/assignee at execution.</w:t>
            </w:r>
          </w:p>
        </w:tc>
      </w:tr>
    </w:tbl>
    <w:p>
      <w:pPr>
        <w:pStyle w:val="Heading1"/>
      </w:pPr>
      <w:r>
        <w:t>9. Notification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Pr>
          <w:p>
            <w:r>
              <w:rPr>
                <w:rFonts w:ascii="Liberation Sans" w:hAnsi="Liberation Sans"/>
                <w:b/>
                <w:color w:val="FFFFFF"/>
                <w:sz w:val="16"/>
              </w:rPr>
              <w:t>Area</w:t>
            </w:r>
          </w:p>
        </w:tc>
        <w:tc>
          <w:tcPr>
            <w:tcW w:type="dxa" w:w="5040"/>
            <w:shd w:fill="17324D"/>
          </w:tcPr>
          <w:p>
            <w:r>
              <w:rPr>
                <w:rFonts w:ascii="Liberation Sans" w:hAnsi="Liberation Sans"/>
                <w:b/>
                <w:color w:val="FFFFFF"/>
                <w:sz w:val="16"/>
              </w:rPr>
              <w:t>Rule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Channels</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Push only in MVP; activity feed separately records important mutations.</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Task reminders</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Send at task offsets only if occurrence is still actionable and preference allows.</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Swap/cover</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Notify target on request; relevant parties on accept/decline/cancel/expire.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Expense</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Notify affected participants other than actor on create/material edit/void.</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Settlement</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Notify counterpart on record/void.</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Quiet hours</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Per-household preference interpreted in household time zone; informational reminders defer/suppress according to policy.</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Deduplication</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Each notification intent uses a deterministic semantic dedupe key.</w:t>
            </w:r>
          </w:p>
        </w:tc>
      </w:tr>
    </w:tbl>
    <w:p>
      <w:pPr>
        <w:pStyle w:val="Heading1"/>
      </w:pPr>
      <w:r>
        <w:t>10. Shared expense rules</w:t>
      </w:r>
    </w:p>
    <w:p>
      <w:r>
        <w:drawing>
          <wp:inline xmlns:a="http://schemas.openxmlformats.org/drawingml/2006/main" xmlns:pic="http://schemas.openxmlformats.org/drawingml/2006/picture">
            <wp:extent cx="5669280" cy="381800"/>
            <wp:docPr id="2" name="Picture 2"/>
            <wp:cNvGraphicFramePr>
              <a:graphicFrameLocks noChangeAspect="1"/>
            </wp:cNvGraphicFramePr>
            <a:graphic>
              <a:graphicData uri="http://schemas.openxmlformats.org/drawingml/2006/picture">
                <pic:pic>
                  <pic:nvPicPr>
                    <pic:cNvPr id="0" name="expense_business_flow.png"/>
                    <pic:cNvPicPr/>
                  </pic:nvPicPr>
                  <pic:blipFill>
                    <a:blip r:embed="rId12"/>
                    <a:stretch>
                      <a:fillRect/>
                    </a:stretch>
                  </pic:blipFill>
                  <pic:spPr>
                    <a:xfrm>
                      <a:off x="0" y="0"/>
                      <a:ext cx="5669280" cy="381800"/>
                    </a:xfrm>
                    <a:prstGeom prst="rect"/>
                  </pic:spPr>
                </pic:pic>
              </a:graphicData>
            </a:graphic>
          </wp:inline>
        </w:drawing>
      </w:r>
    </w:p>
    <w:p>
      <w:pPr>
        <w:jc w:val="center"/>
      </w:pPr>
      <w:r>
        <w:rPr>
          <w:i/>
          <w:color w:val="5B6573"/>
          <w:sz w:val="16"/>
        </w:rPr>
        <w:t>Figure 2. Expense input resolves to exact splits, balances, and settlements.</w:t>
      </w:r>
    </w:p>
    <w:p>
      <w:pPr>
        <w:pStyle w:val="Heading2"/>
      </w:pPr>
      <w:r>
        <w:t>10.1 Creation and categories</w:t>
      </w:r>
    </w:p>
    <w:p>
      <w:pPr>
        <w:pStyle w:val="ListBullet"/>
      </w:pPr>
      <w:r>
        <w:t>One payer per expense. Payer and split participants must be active members at creation.</w:t>
      </w:r>
    </w:p>
    <w:p>
      <w:pPr>
        <w:pStyle w:val="ListBullet"/>
      </w:pPr>
      <w:r>
        <w:t>Amount must be positive; currency must equal household currency.</w:t>
      </w:r>
    </w:p>
    <w:p>
      <w:pPr>
        <w:pStyle w:val="ListBullet"/>
      </w:pPr>
      <w:r>
        <w:t>Persist exact resolved amounts per member even when input uses percentages/shares.</w:t>
      </w:r>
    </w:p>
    <w:p>
      <w:pPr>
        <w:pStyle w:val="ListBullet"/>
      </w:pPr>
      <w:r>
        <w:t>Creator is distinct from payer; any active member may record an expense paid by another active member.</w:t>
      </w:r>
    </w:p>
    <w:p>
      <w:pPr>
        <w:pStyle w:val="ListBullet"/>
      </w:pPr>
      <w:r>
        <w:t>Fixed MVP categories: RENT, UTILITIES, INTERNET, GROCERIES, HOUSEHOLD_SUPPLIES, DINING_SHARED, TRANSPORT_SHARED, OTHER.</w:t>
      </w:r>
    </w:p>
    <w:p>
      <w:pPr>
        <w:pStyle w:val="Heading2"/>
      </w:pPr>
      <w:r>
        <w:t>10.2 Split modes and rounding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Pr>
          <w:p>
            <w:r>
              <w:rPr>
                <w:rFonts w:ascii="Liberation Sans" w:hAnsi="Liberation Sans"/>
                <w:b/>
                <w:color w:val="FFFFFF"/>
                <w:sz w:val="16"/>
              </w:rPr>
              <w:t>Mode</w:t>
            </w:r>
          </w:p>
        </w:tc>
        <w:tc>
          <w:tcPr>
            <w:tcW w:type="dxa" w:w="5040"/>
            <w:shd w:fill="17324D"/>
          </w:tcPr>
          <w:p>
            <w:r>
              <w:rPr>
                <w:rFonts w:ascii="Liberation Sans" w:hAnsi="Liberation Sans"/>
                <w:b/>
                <w:color w:val="FFFFFF"/>
                <w:sz w:val="16"/>
              </w:rPr>
              <w:t>Normative calculation</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EQUAL</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Integer-divide total by participants; distribute remainder one minor unit at a time by stable ascending member UUID.</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EXACT</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Submitted non-negative exact amounts must sum exactly to total.</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PERCENTAGE</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Percentages total exactly 100; resolve minor units with largest-remainder allocation and stable member-ID tie-break.</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SHARES</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6"/>
              </w:rPr>
              <w:t>Positive shares; proportional largest-remainder allocation with stable member-ID tie-break.</w:t>
            </w:r>
          </w:p>
        </w:tc>
      </w:tr>
    </w:tbl>
    <w:p>
      <w:pPr>
        <w:pStyle w:val="Heading2"/>
      </w:pPr>
      <w:r>
        <w:t>10.3 Edits and voids</w:t>
      </w:r>
    </w:p>
    <w:p>
      <w:pPr>
        <w:pStyle w:val="ListBullet"/>
      </w:pPr>
      <w:r>
        <w:t>Expense creator or OWNER may edit ACTIVE expense. Payer may edit only if also creator in MVP.</w:t>
      </w:r>
    </w:p>
    <w:p>
      <w:pPr>
        <w:pStyle w:val="ListBullet"/>
      </w:pPr>
      <w:r>
        <w:t>Edits use optimistic version checks; amount/payer/participant/split changes recalculate current balances atomically.</w:t>
      </w:r>
    </w:p>
    <w:p>
      <w:pPr>
        <w:pStyle w:val="ListBullet"/>
      </w:pPr>
      <w:r>
        <w:t>Existing settlements are not reversed when an earlier expense changes; they remain facts and balances may become non-zero again.</w:t>
      </w:r>
    </w:p>
    <w:p>
      <w:pPr>
        <w:pStyle w:val="ListBullet"/>
      </w:pPr>
      <w:r>
        <w:t>UI “Delete” performs VOID. Original expense/splits remain for audit but are excluded from active balances/analytics.</w:t>
      </w:r>
    </w:p>
    <w:p>
      <w:pPr>
        <w:pStyle w:val="ListBullet"/>
      </w:pPr>
      <w:r>
        <w:t>Voiding an already voided expense is idempotent.</w:t>
      </w:r>
    </w:p>
    <w:p>
      <w:pPr>
        <w:pStyle w:val="Heading1"/>
      </w:pPr>
      <w:r>
        <w:t>11. Balance and settlement rules</w:t>
      </w:r>
    </w:p>
    <w:p>
      <w:r>
        <w:t>member_net = shared amounts paid - shared amounts allocated + settlements paid - settlements received. Positive means the household owes the member; negative means the member owes the household.</w:t>
      </w:r>
    </w:p>
    <w:p>
      <w:pPr>
        <w:pStyle w:val="ListNumber"/>
      </w:pPr>
      <w:r>
        <w:t>Compute nets from ACTIVE expenses/splits and ACTIVE settlements. Former-member history remains included until resolved.</w:t>
      </w:r>
    </w:p>
    <w:p>
      <w:pPr>
        <w:pStyle w:val="ListNumber"/>
      </w:pPr>
      <w:r>
        <w:t>Generate deterministic transfers by matching debtors and creditors with stable tie-breaking.</w:t>
      </w:r>
    </w:p>
    <w:p>
      <w:pPr>
        <w:pStyle w:val="ListNumber"/>
      </w:pPr>
      <w:r>
        <w:t>Partial settlement is allowed but amount must be positive and no greater than current suggestion for that payer/receiver pair.</w:t>
      </w:r>
    </w:p>
    <w:p>
      <w:pPr>
        <w:pStyle w:val="ListNumber"/>
      </w:pPr>
      <w:r>
        <w:t>No self-settlement and no cross-currency settlement.</w:t>
      </w:r>
    </w:p>
    <w:p>
      <w:pPr>
        <w:pStyle w:val="ListNumber"/>
      </w:pPr>
      <w:r>
        <w:t>Settlement suggestions are projections, not persisted debt. Settlement records are persisted facts.</w:t>
      </w:r>
    </w:p>
    <w:p>
      <w:pPr>
        <w:pStyle w:val="ListNumber"/>
      </w:pPr>
      <w:r>
        <w:t>Voiding a settlement preserves history and removes it from active balance math; authorization follows API/UX rules.</w:t>
      </w:r>
    </w:p>
    <w:p>
      <w:pPr>
        <w:pStyle w:val="Heading1"/>
      </w:pPr>
      <w:r>
        <w:t>12. “My spending” semantics</w:t>
      </w:r>
    </w:p>
    <w:tbl>
      <w:tblPr>
        <w:tblW w:type="auto" w:w="0"/>
        <w:tblLook w:firstColumn="1" w:firstRow="1" w:lastColumn="0" w:lastRow="0" w:noHBand="0" w:noVBand="1" w:val="04A0"/>
      </w:tblPr>
      <w:tblGrid>
        <w:gridCol w:w="10080"/>
      </w:tblGrid>
      <w:tr>
        <w:tc>
          <w:tcPr>
            <w:tcW w:type="dxa" w:w="10080"/>
            <w:shd w:fill="EAF3F5"/>
            <w:tcBorders>
              <w:top w:val="single" w:sz="4" w:color="1F7A8C"/>
              <w:left w:val="single" w:sz="4" w:color="1F7A8C"/>
              <w:bottom w:val="single" w:sz="4" w:color="1F7A8C"/>
              <w:right w:val="single" w:sz="4" w:color="1F7A8C"/>
            </w:tcBorders>
          </w:tcPr>
          <w:p>
            <w:r>
              <w:rPr>
                <w:b/>
                <w:color w:val="17324D"/>
              </w:rPr>
              <w:t>Scope clarification</w:t>
              <w:br/>
            </w:r>
            <w:r>
              <w:t>MVP is not a general personal-finance app. “My household spending” is the member’s active ExpenseSplit allocation in the selected period. “I paid” is active expense amount where the member is payer. “My net” is the balance formula above. Private non-household spending is Phase 2+.</w:t>
            </w:r>
          </w:p>
        </w:tc>
      </w:tr>
    </w:tbl>
    <w:p>
      <w:pPr>
        <w:pStyle w:val="Heading1"/>
      </w:pPr>
      <w:r>
        <w:t>13. Authorization matrix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Pr>
          <w:p>
            <w:r>
              <w:rPr>
                <w:rFonts w:ascii="Liberation Sans" w:hAnsi="Liberation Sans"/>
                <w:b/>
                <w:color w:val="FFFFFF"/>
                <w:sz w:val="14"/>
              </w:rPr>
              <w:t>Action</w:t>
            </w:r>
          </w:p>
        </w:tc>
        <w:tc>
          <w:tcPr>
            <w:tcW w:type="dxa" w:w="3360"/>
            <w:shd w:fill="17324D"/>
          </w:tcPr>
          <w:p>
            <w:r>
              <w:rPr>
                <w:rFonts w:ascii="Liberation Sans" w:hAnsi="Liberation Sans"/>
                <w:b/>
                <w:color w:val="FFFFFF"/>
                <w:sz w:val="14"/>
              </w:rPr>
              <w:t>OWNER</w:t>
            </w:r>
          </w:p>
        </w:tc>
        <w:tc>
          <w:tcPr>
            <w:tcW w:type="dxa" w:w="3360"/>
            <w:shd w:fill="17324D"/>
          </w:tcPr>
          <w:p>
            <w:r>
              <w:rPr>
                <w:rFonts w:ascii="Liberation Sans" w:hAnsi="Liberation Sans"/>
                <w:b/>
                <w:color w:val="FFFFFF"/>
                <w:sz w:val="14"/>
              </w:rPr>
              <w:t>MEMBER</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View household/task/expense data</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Create tasks/expenses/swaps/away periods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 subject to rules</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Edit own-created expense</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Edit another member’s expense</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No</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Change household settings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No</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Invite/remove members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No</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Transfer ownership</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No</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Complete own assigned occurrence</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Complete on behalf of another</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No</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Archive task</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Task creator: Yes in MVP</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Record settlement involving self</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r>
      <w:tr>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Void another member’s settlement</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Yes</w:t>
            </w:r>
          </w:p>
        </w:tc>
        <w:tc>
          <w:tcPr>
            <w:tcW w:type="dxa" w:w="3360"/>
            <w:vAlign w:val="top"/>
            <w:tcBorders>
              <w:top w:val="single" w:sz="4" w:color="C9D4DC"/>
              <w:left w:val="single" w:sz="4" w:color="C9D4DC"/>
              <w:bottom w:val="single" w:sz="4" w:color="C9D4DC"/>
              <w:right w:val="single" w:sz="4" w:color="C9D4DC"/>
            </w:tcBorders>
          </w:tcPr>
          <w:p>
            <w:r>
              <w:rPr>
                <w:rFonts w:ascii="Liberation Sans" w:hAnsi="Liberation Sans"/>
                <w:sz w:val="14"/>
              </w:rPr>
              <w:t>No</w:t>
            </w:r>
          </w:p>
        </w:tc>
      </w:tr>
    </w:tbl>
    <w:p>
      <w:pPr>
        <w:pStyle w:val="Heading1"/>
      </w:pPr>
      <w:r>
        <w:t>14. Required edge cases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Pr>
          <w:p>
            <w:r>
              <w:rPr>
                <w:rFonts w:ascii="Liberation Sans" w:hAnsi="Liberation Sans"/>
                <w:b/>
                <w:color w:val="FFFFFF"/>
                <w:sz w:val="14"/>
              </w:rPr>
              <w:t>Case</w:t>
            </w:r>
          </w:p>
        </w:tc>
        <w:tc>
          <w:tcPr>
            <w:tcW w:type="dxa" w:w="5040"/>
            <w:shd w:fill="17324D"/>
          </w:tcPr>
          <w:p>
            <w:r>
              <w:rPr>
                <w:rFonts w:ascii="Liberation Sans" w:hAnsi="Liberation Sans"/>
                <w:b/>
                <w:color w:val="FFFFFF"/>
                <w:sz w:val="14"/>
              </w:rPr>
              <w:t>Required outcome</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No eligible task member</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Create UNASSIGNED occurrence; owner alert/activity.</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Concurrent swap accept</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One transaction wins; no double mutation/events.</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Duplicate expense POST</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Same key+request returns original; same key+different request returns 409.</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Member leaves with balance</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Membership becomes LEFT; history/net remain; no new assignments/splits.</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Expense edited after settlement</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Recalculate balances; do not mutate settlement history.</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Invalid push token</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Deactivate after permanent provider error; stop retrying that token.</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DST gap/overlap</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Preserve intended local wall-clock semantics per implementation ADR/test fixtures.</w:t>
            </w:r>
          </w:p>
        </w:tc>
      </w:tr>
      <w:tr>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Archive task with pending swap</w:t>
            </w:r>
          </w:p>
        </w:tc>
        <w:tc>
          <w:tcPr>
            <w:tcW w:type="dxa" w:w="5040"/>
            <w:vAlign w:val="top"/>
            <w:tcBorders>
              <w:top w:val="single" w:sz="4" w:color="C9D4DC"/>
              <w:left w:val="single" w:sz="4" w:color="C9D4DC"/>
              <w:bottom w:val="single" w:sz="4" w:color="C9D4DC"/>
              <w:right w:val="single" w:sz="4" w:color="C9D4DC"/>
            </w:tcBorders>
          </w:tcPr>
          <w:p>
            <w:r>
              <w:rPr>
                <w:rFonts w:ascii="Liberation Sans" w:hAnsi="Liberation Sans"/>
                <w:sz w:val="14"/>
              </w:rPr>
              <w:t>Request becomes EXPIRED; affected users may be notified.</w:t>
            </w:r>
          </w:p>
        </w:tc>
      </w:tr>
    </w:tbl>
    <w:p>
      <w:pPr>
        <w:pStyle w:val="Heading1"/>
      </w:pPr>
      <w:r>
        <w:t>15. Phase 2 candidates</w:t>
      </w:r>
    </w:p>
    <w:p>
      <w:pPr>
        <w:pStyle w:val="ListBullet"/>
      </w:pPr>
      <w:r>
        <w:t>Private personal-expense ledger and budgets.</w:t>
      </w:r>
    </w:p>
    <w:p>
      <w:pPr>
        <w:pStyle w:val="ListBullet"/>
      </w:pPr>
      <w:r>
        <w:t>Shopping list and receipt-to-expense workflow.</w:t>
      </w:r>
    </w:p>
    <w:p>
      <w:pPr>
        <w:pStyle w:val="ListBullet"/>
      </w:pPr>
      <w:r>
        <w:t>Recurring bills and receipt OCR/object storage.</w:t>
      </w:r>
    </w:p>
    <w:p>
      <w:pPr>
        <w:pStyle w:val="ListBullet"/>
      </w:pPr>
      <w:r>
        <w:t>Cross-task swaps, open coverage marketplace, favor credits.</w:t>
      </w:r>
    </w:p>
    <w:p>
      <w:pPr>
        <w:pStyle w:val="ListBullet"/>
      </w:pPr>
      <w:r>
        <w:t>Weighted/effort-aware rotations and richer fairness policies.</w:t>
      </w:r>
    </w:p>
    <w:p>
      <w:pPr>
        <w:pStyle w:val="ListBullet"/>
      </w:pPr>
      <w:r>
        <w:t>Multi-currency with explicit FX snapshots.</w:t>
      </w:r>
    </w:p>
    <w:p>
      <w:pPr>
        <w:pStyle w:val="ListBullet"/>
      </w:pPr>
      <w:r>
        <w:t>Calendar sync/export and email/SMS fallback.</w:t>
      </w:r>
    </w:p>
    <w:p>
      <w:pPr>
        <w:pStyle w:val="ListBullet"/>
      </w:pPr>
      <w:r>
        <w:t>Optional natural-language summaries generated only from deterministic facts.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pPr>
    <w:r>
      <w:t>Implementation handoff | Baseline 8 August 2026</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Label"/>
    </w:pPr>
    <w:r>
      <w:t>TURNTABLE | PRODUCT &amp; BUSINESS RULES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color w:val="1D252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7A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Liberation Sans" w:hAnsi="Liberation Sans"/>
      <w:b/>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