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60"/>
        <w:jc w:val="center"/>
      </w:pPr>
      <w:r>
        <w:rPr>
          <w:rFonts w:ascii="Times New Roman" w:hAnsi="Times New Roman" w:eastAsia="黑体"/>
          <w:b/>
          <w:color w:val="000000"/>
          <w:sz w:val="36"/>
        </w:rPr>
        <w:t>H大学图书馆五年馆藏结构演化与</w:t>
      </w:r>
    </w:p>
    <w:p>
      <w:pPr>
        <w:spacing w:line="300" w:lineRule="auto" w:after="60"/>
        <w:jc w:val="center"/>
      </w:pPr>
      <w:r>
        <w:rPr>
          <w:rFonts w:ascii="Times New Roman" w:hAnsi="Times New Roman" w:eastAsia="黑体"/>
          <w:b/>
          <w:color w:val="000000"/>
          <w:sz w:val="36"/>
        </w:rPr>
        <w:t>民族文献特色馆藏建设分析</w:t>
      </w:r>
    </w:p>
    <w:p>
      <w:pPr>
        <w:spacing w:line="300" w:lineRule="auto" w:after="60"/>
        <w:jc w:val="both"/>
      </w:pPr>
    </w:p>
    <w:p>
      <w:pPr>
        <w:spacing w:line="300" w:lineRule="auto" w:after="60"/>
        <w:jc w:val="both"/>
      </w:pPr>
    </w:p>
    <w:p>
      <w:pPr>
        <w:spacing w:line="300" w:lineRule="auto" w:after="60"/>
        <w:jc w:val="both"/>
      </w:pPr>
    </w:p>
    <w:p>
      <w:pPr>
        <w:spacing w:line="300" w:lineRule="auto" w:after="60"/>
        <w:jc w:val="both"/>
      </w:pPr>
    </w:p>
    <w:p>
      <w:pPr>
        <w:spacing w:line="300" w:lineRule="auto" w:after="60"/>
        <w:jc w:val="center"/>
      </w:pPr>
      <w:r>
        <w:rPr>
          <w:rFonts w:ascii="Times New Roman" w:hAnsi="Times New Roman" w:eastAsia="宋体"/>
          <w:b w:val="0"/>
          <w:color w:val="000000"/>
          <w:sz w:val="32"/>
        </w:rPr>
        <w:t>主题方向：资源建设与特色馆藏</w:t>
      </w:r>
    </w:p>
    <w:p>
      <w:pPr>
        <w:spacing w:line="300" w:lineRule="auto" w:after="60"/>
        <w:jc w:val="center"/>
      </w:pPr>
      <w:r>
        <w:rPr>
          <w:rFonts w:ascii="Times New Roman" w:hAnsi="Times New Roman" w:eastAsia="宋体"/>
          <w:b w:val="0"/>
          <w:color w:val="000000"/>
          <w:sz w:val="32"/>
        </w:rPr>
        <w:t>专业领域/方向：图书情报</w:t>
      </w:r>
    </w:p>
    <w:p>
      <w:pPr>
        <w:spacing w:line="300" w:lineRule="auto" w:after="60"/>
        <w:jc w:val="center"/>
      </w:pPr>
      <w:r>
        <w:rPr>
          <w:rFonts w:ascii="Times New Roman" w:hAnsi="Times New Roman" w:eastAsia="宋体"/>
          <w:b w:val="0"/>
          <w:color w:val="000000"/>
          <w:sz w:val="32"/>
        </w:rPr>
        <w:t>适用课程：《实践领域案例分析》《信息资源建设》《图书馆管理》</w:t>
      </w:r>
    </w:p>
    <w:p>
      <w:pPr>
        <w:spacing w:line="300" w:lineRule="auto" w:after="60"/>
        <w:jc w:val="center"/>
      </w:pPr>
      <w:r>
        <w:rPr>
          <w:rFonts w:ascii="Times New Roman" w:hAnsi="Times New Roman" w:eastAsia="宋体"/>
          <w:b w:val="0"/>
          <w:color w:val="000000"/>
          <w:sz w:val="32"/>
        </w:rPr>
        <w:t>作者姓名：[请填写]</w:t>
      </w:r>
    </w:p>
    <w:p>
      <w:pPr>
        <w:spacing w:line="300" w:lineRule="auto" w:after="60"/>
        <w:jc w:val="center"/>
      </w:pPr>
      <w:r>
        <w:rPr>
          <w:rFonts w:ascii="Times New Roman" w:hAnsi="Times New Roman" w:eastAsia="宋体"/>
          <w:b w:val="0"/>
          <w:color w:val="000000"/>
          <w:sz w:val="32"/>
        </w:rPr>
        <w:t>工作单位：[请填写]</w:t>
      </w:r>
    </w:p>
    <w:p>
      <w:pPr>
        <w:spacing w:line="300" w:lineRule="auto" w:after="60"/>
        <w:jc w:val="both"/>
      </w:pPr>
    </w:p>
    <w:p>
      <w:pPr>
        <w:spacing w:line="300" w:lineRule="auto" w:after="60"/>
        <w:jc w:val="both"/>
      </w:pPr>
    </w:p>
    <w:p>
      <w:pPr>
        <w:spacing w:line="300" w:lineRule="auto" w:after="60"/>
        <w:jc w:val="both"/>
      </w:pPr>
    </w:p>
    <w:p>
      <w:pPr>
        <w:spacing w:line="300" w:lineRule="auto" w:after="60"/>
        <w:jc w:val="both"/>
      </w:pPr>
    </w:p>
    <w:p>
      <w:pPr>
        <w:spacing w:line="300" w:lineRule="auto" w:after="60"/>
        <w:jc w:val="both"/>
      </w:pPr>
    </w:p>
    <w:p>
      <w:pPr>
        <w:spacing w:line="300" w:lineRule="auto" w:after="60"/>
        <w:jc w:val="center"/>
      </w:pPr>
      <w:r>
        <w:rPr>
          <w:rFonts w:ascii="Times New Roman" w:hAnsi="Times New Roman" w:eastAsia="宋体"/>
          <w:b w:val="0"/>
          <w:color w:val="000000"/>
          <w:sz w:val="32"/>
        </w:rPr>
        <w:t>2026年3月31日</w:t>
      </w:r>
    </w:p>
    <w:p>
      <w:r>
        <w:br w:type="page"/>
      </w:r>
    </w:p>
    <w:p>
      <w:pPr>
        <w:spacing w:line="300" w:lineRule="auto" w:after="60"/>
        <w:jc w:val="center"/>
      </w:pPr>
      <w:r>
        <w:rPr>
          <w:rFonts w:ascii="Times New Roman" w:hAnsi="Times New Roman" w:eastAsia="宋体"/>
          <w:b/>
          <w:color w:val="000000"/>
          <w:sz w:val="32"/>
        </w:rPr>
        <w:t>H大学图书馆五年馆藏结构演化与民族文献特色馆藏建设分析</w:t>
      </w:r>
    </w:p>
    <w:p>
      <w:pPr>
        <w:spacing w:line="300" w:lineRule="auto" w:after="60"/>
        <w:jc w:val="center"/>
      </w:pPr>
      <w:r>
        <w:rPr>
          <w:rFonts w:ascii="Times New Roman" w:hAnsi="Times New Roman" w:eastAsia="楷体"/>
          <w:b w:val="0"/>
          <w:color w:val="000000"/>
          <w:sz w:val="32"/>
        </w:rPr>
        <w:t>[作者1]  [作者2]</w:t>
      </w:r>
    </w:p>
    <w:p>
      <w:pPr>
        <w:spacing w:line="300" w:lineRule="auto" w:after="60"/>
        <w:jc w:val="both"/>
      </w:pPr>
      <w:r>
        <w:rPr>
          <w:rFonts w:ascii="Times New Roman" w:hAnsi="Times New Roman" w:eastAsia="宋体"/>
          <w:b/>
          <w:color w:val="000000"/>
          <w:sz w:val="24"/>
        </w:rPr>
        <w:t>摘要：</w:t>
      </w:r>
      <w:r>
        <w:rPr>
          <w:rFonts w:ascii="Times New Roman" w:hAnsi="Times New Roman" w:eastAsia="宋体"/>
          <w:color w:val="000000"/>
          <w:sz w:val="24"/>
        </w:rPr>
        <w:t>H大学是一所具有鲜明民族特色的高校，因此，仅停留在五年馆藏总量与一般学科结构层面的分析，还不足以凸显其资源建设的真正特色。基于“五年馆藏.xlsx”数据，本文在完成2021—2025年新增馆藏总体演化分析的基础上，进一步将“民族文献特色馆藏建设”确立为案例聚焦点，形成“总体结构判断—民族文献聚焦分析—CNKI文献对话—优化路径提出”的研究主线。研究发现，H大学图书馆五年新增馆藏共142847册，整体上呈现文学类长期居前、哲学宗教和社会科学类比重上升、工业技术和经济类比重回落的趋势。但更具有民族特色高校辨识度的是民族文献相关馆藏：民族文献借阅、民族文献阅览与民大文库三处重点馆藏合计9015条记录，其中2021—2025年新增7108册，占全馆同期新增馆藏的4.98%。该部分资源以K类历史地理、I类文学和J类艺术为主，高价专题文献集中分布于民族文献阅览区，2025年还出现“近现代中华民族共同体意识研究历史文献影印集刊”等具有鲜明时代导向的文献集群，表明H大学图书馆已经从一般性的民族文献积累，逐步转向兼具学术支撑、文化传承和共同体意识教育功能的特色资源建设。结合CNKI相关研究可以认为，民族特色高校图书馆的竞争力，不在于与普通高校比拼馆藏总量，而在于能否将民族文献特色馆藏建设转化为资源优势、学科优势和育人优势。</w:t>
      </w:r>
    </w:p>
    <w:p>
      <w:pPr>
        <w:spacing w:line="300" w:lineRule="auto" w:after="60"/>
        <w:jc w:val="both"/>
      </w:pPr>
      <w:r>
        <w:rPr>
          <w:rFonts w:ascii="Times New Roman" w:hAnsi="Times New Roman" w:eastAsia="宋体"/>
          <w:b/>
          <w:color w:val="000000"/>
          <w:sz w:val="24"/>
        </w:rPr>
        <w:t>关键词：</w:t>
      </w:r>
      <w:r>
        <w:rPr>
          <w:rFonts w:ascii="Times New Roman" w:hAnsi="Times New Roman" w:eastAsia="宋体"/>
          <w:color w:val="000000"/>
          <w:sz w:val="24"/>
        </w:rPr>
        <w:t>民族特色高校；民族文献；特色馆藏；中图法；馆藏建设；学科服务</w:t>
      </w:r>
    </w:p>
    <w:p>
      <w:pPr>
        <w:spacing w:line="300" w:lineRule="auto" w:after="60"/>
        <w:jc w:val="both"/>
      </w:pPr>
      <w:r>
        <w:rPr>
          <w:rFonts w:ascii="Times New Roman" w:hAnsi="Times New Roman" w:eastAsia="宋体"/>
          <w:b/>
          <w:color w:val="000000"/>
          <w:sz w:val="24"/>
        </w:rPr>
        <w:t>作者信息：</w:t>
      </w:r>
      <w:r>
        <w:rPr>
          <w:rFonts w:ascii="Times New Roman" w:hAnsi="Times New Roman" w:eastAsia="宋体"/>
          <w:color w:val="000000"/>
          <w:sz w:val="24"/>
        </w:rPr>
        <w:t>[作者1]，[单位与职务/年级]；[作者2]，[单位与职务/年级]。</w:t>
      </w:r>
    </w:p>
    <w:p>
      <w:pPr>
        <w:spacing w:line="240" w:lineRule="auto" w:after="0"/>
        <w:jc w:val="both"/>
      </w:pPr>
      <w:r>
        <w:rPr>
          <w:rFonts w:ascii="Times New Roman" w:hAnsi="Times New Roman" w:eastAsia="楷体"/>
          <w:color w:val="000000"/>
          <w:sz w:val="18"/>
        </w:rPr>
        <w:t>* 1. 本案例由[作者姓名]撰写，作者拥有著作权中的署名权、修改权和改编权。</w:t>
      </w:r>
    </w:p>
    <w:p>
      <w:pPr>
        <w:spacing w:line="240" w:lineRule="auto" w:after="0"/>
        <w:jc w:val="both"/>
      </w:pPr>
      <w:r>
        <w:rPr>
          <w:rFonts w:ascii="Times New Roman" w:hAnsi="Times New Roman" w:eastAsia="楷体"/>
          <w:color w:val="000000"/>
          <w:sz w:val="18"/>
        </w:rPr>
        <w:t>* 2. 本案例授权全国图书情报专业学位研究生教育指导委员会使用。</w:t>
      </w:r>
    </w:p>
    <w:p>
      <w:pPr>
        <w:spacing w:line="240" w:lineRule="auto" w:after="0"/>
        <w:jc w:val="both"/>
      </w:pPr>
      <w:r>
        <w:rPr>
          <w:rFonts w:ascii="Times New Roman" w:hAnsi="Times New Roman" w:eastAsia="楷体"/>
          <w:color w:val="000000"/>
          <w:sz w:val="18"/>
        </w:rPr>
        <w:t>* 3. 由于竞赛展示与隐私保护需要，案例对馆名等信息作了概括性处理。</w:t>
      </w:r>
    </w:p>
    <w:p>
      <w:pPr>
        <w:spacing w:line="240" w:lineRule="auto" w:after="0"/>
        <w:jc w:val="both"/>
      </w:pPr>
      <w:r>
        <w:rPr>
          <w:rFonts w:ascii="Times New Roman" w:hAnsi="Times New Roman" w:eastAsia="楷体"/>
          <w:color w:val="000000"/>
          <w:sz w:val="18"/>
        </w:rPr>
        <w:t>* 4. 本案例只供课堂讨论与竞赛交流之用，并无意暗示或说明某种管理行为是否有效。</w:t>
      </w:r>
    </w:p>
    <w:p>
      <w:pPr>
        <w:spacing w:line="300" w:lineRule="auto" w:before="120" w:after="60"/>
        <w:jc w:val="left"/>
      </w:pPr>
      <w:r>
        <w:rPr>
          <w:rFonts w:ascii="Times New Roman" w:hAnsi="Times New Roman" w:eastAsia="黑体"/>
          <w:b/>
          <w:color w:val="000000"/>
          <w:sz w:val="28"/>
        </w:rPr>
        <w:t>引言</w:t>
      </w:r>
    </w:p>
    <w:p>
      <w:pPr>
        <w:spacing w:line="300" w:lineRule="auto" w:after="60"/>
        <w:ind w:firstLine="480"/>
        <w:jc w:val="both"/>
      </w:pPr>
      <w:r>
        <w:rPr>
          <w:rFonts w:ascii="Times New Roman" w:hAnsi="Times New Roman" w:eastAsia="宋体"/>
          <w:b w:val="0"/>
          <w:color w:val="000000"/>
          <w:sz w:val="24"/>
        </w:rPr>
        <w:t>从一般高校图书馆视角看，五年馆藏分析往往集中在新增规模、学科结构、资源价格和采购效率等方面；但对于民族特色高校而言，如果案例只停留在这些通用维度，容易失去最重要的辨识度。民族特色高校图书馆不仅承担文献保障职能，还肩负民族文化保存、民族学科支撑、边疆民族文献传承以及服务铸牢中华民族共同体意识等更具特色的使命。因此，真正有价值的案例主线，不应只是“馆藏变了什么”，还应回答“哪些变化最能体现民族特色高校的办馆定位”。</w:t>
      </w:r>
    </w:p>
    <w:p>
      <w:pPr>
        <w:spacing w:line="300" w:lineRule="auto" w:after="60"/>
        <w:ind w:firstLine="480"/>
        <w:jc w:val="both"/>
      </w:pPr>
      <w:r>
        <w:rPr>
          <w:rFonts w:ascii="Times New Roman" w:hAnsi="Times New Roman" w:eastAsia="宋体"/>
          <w:b w:val="0"/>
          <w:color w:val="000000"/>
          <w:sz w:val="24"/>
        </w:rPr>
        <w:t>基于这一判断，本文先对H大学图书馆2021—2025年新增馆藏的总体演化进行概括，以确认五年资源结构的基本变化方向；在此基础上，将民族文献借阅、民族文献阅览和民大文库三处特色馆藏作为聚焦对象，分析其年度扩展节奏、文献学科结构、价格特征、出版社来源以及与共同体意识相关的新近资源配置，从而把案例从一般性的馆藏总量分析推进到更有学校特色的资源建设分析。</w:t>
      </w:r>
    </w:p>
    <w:p>
      <w:pPr>
        <w:spacing w:line="300" w:lineRule="auto" w:before="120" w:after="60"/>
        <w:jc w:val="left"/>
      </w:pPr>
      <w:r>
        <w:rPr>
          <w:rFonts w:ascii="Times New Roman" w:hAnsi="Times New Roman" w:eastAsia="黑体"/>
          <w:b/>
          <w:color w:val="000000"/>
          <w:sz w:val="28"/>
        </w:rPr>
        <w:t>1. 数据来源与分析思路</w:t>
      </w:r>
    </w:p>
    <w:p>
      <w:pPr>
        <w:spacing w:line="300" w:lineRule="auto" w:after="60"/>
        <w:ind w:firstLine="480"/>
        <w:jc w:val="both"/>
      </w:pPr>
      <w:r>
        <w:rPr>
          <w:rFonts w:ascii="Times New Roman" w:hAnsi="Times New Roman" w:eastAsia="宋体"/>
          <w:b w:val="0"/>
          <w:color w:val="000000"/>
          <w:sz w:val="24"/>
        </w:rPr>
        <w:t>本文数据来源于工作区文件“五年馆藏.xlsx”。原始记录共166382条，其中新书编目146922条，回溯编目19460条。为识别2021—2025年的真实新增馆藏，本文以“编目方式=新书编目”且“验收批次”可识别出2021—2025年份信息的记录作为主分析样本，共142847条。总体结构分析严格依据索书号提取中图法一级类代码进行统计；聚焦分析部分则以“民族文献借阅（L203）”“民族文献阅览（L201）”“民大文库L102”三处特色馆藏为核心观察对象。</w:t>
      </w:r>
    </w:p>
    <w:p>
      <w:pPr>
        <w:spacing w:line="300" w:lineRule="auto" w:after="60"/>
        <w:ind w:firstLine="480"/>
        <w:jc w:val="both"/>
      </w:pPr>
      <w:r>
        <w:rPr>
          <w:rFonts w:ascii="Times New Roman" w:hAnsi="Times New Roman" w:eastAsia="宋体"/>
          <w:b w:val="0"/>
          <w:color w:val="000000"/>
          <w:sz w:val="24"/>
        </w:rPr>
        <w:t>本文的研究思路分为三步。第一步，对全馆五年新增馆藏做整体概括，判断整体结构迁移方向；第二步，在民族特色高校定位下，把特色馆藏单独抽出，识别其与普通馆藏之间的差异；第三步，结合CNKI相关研究，对H大学图书馆的特色馆藏建设进行定位，进而提出更有针对性的优化建议。</w:t>
      </w:r>
    </w:p>
    <w:p>
      <w:pPr>
        <w:spacing w:line="300" w:lineRule="auto" w:before="120" w:after="60"/>
        <w:jc w:val="left"/>
      </w:pPr>
      <w:r>
        <w:rPr>
          <w:rFonts w:ascii="Times New Roman" w:hAnsi="Times New Roman" w:eastAsia="黑体"/>
          <w:b/>
          <w:color w:val="000000"/>
          <w:sz w:val="28"/>
        </w:rPr>
        <w:t>2. 五年新增馆藏的总体结构判断</w:t>
      </w:r>
    </w:p>
    <w:p>
      <w:pPr>
        <w:spacing w:line="300" w:lineRule="auto" w:after="60"/>
        <w:ind w:firstLine="480"/>
        <w:jc w:val="both"/>
      </w:pPr>
      <w:r>
        <w:rPr>
          <w:rFonts w:ascii="Times New Roman" w:hAnsi="Times New Roman" w:eastAsia="宋体"/>
          <w:b w:val="0"/>
          <w:color w:val="000000"/>
          <w:sz w:val="24"/>
        </w:rPr>
        <w:t>作为背景性分析，H大学图书馆2021—2025年新增馆藏分别为33260册、25630册、27518册、26460册和29979册，整体经历了“2022年收缩—2023年回升—2024年小幅回落—2025年再度扩张”的波动过程。按中图法一级类观察，I类文学始终保持最大规模；B类哲学宗教、D类政治法律和C类社会科学总论占比明显上升，而T类工业技术、F类经济、G类文教体和K类历史地理则有不同程度回落。换言之，全馆馆藏结构变化是存在的，但这种变化本身并不能充分揭示H大学作为民族特色高校的资源建设重点。</w:t>
      </w:r>
    </w:p>
    <w:p>
      <w:pPr>
        <w:spacing w:line="300" w:lineRule="auto" w:after="60"/>
        <w:jc w:val="center"/>
      </w:pPr>
      <w:r>
        <w:rPr>
          <w:rFonts w:ascii="Times New Roman" w:hAnsi="Times New Roman" w:eastAsia="宋体"/>
          <w:b/>
          <w:color w:val="000000"/>
          <w:sz w:val="21"/>
        </w:rPr>
        <w:t>表1 全馆主要中图法类别2021年与2025年占比变化</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line="240" w:lineRule="auto" w:after="0"/>
              <w:jc w:val="center"/>
            </w:pPr>
            <w:r>
              <w:rPr>
                <w:rFonts w:ascii="Times New Roman" w:hAnsi="Times New Roman" w:eastAsia="宋体"/>
                <w:color w:val="000000"/>
                <w:sz w:val="18"/>
              </w:rPr>
              <w:t>类别代码</w:t>
            </w:r>
          </w:p>
        </w:tc>
        <w:tc>
          <w:tcPr>
            <w:tcW w:type="dxa" w:w="1824"/>
            <w:vAlign w:val="center"/>
          </w:tcPr>
          <w:p>
            <w:pPr>
              <w:spacing w:line="240" w:lineRule="auto" w:after="0"/>
              <w:jc w:val="center"/>
            </w:pPr>
            <w:r>
              <w:rPr>
                <w:rFonts w:ascii="Times New Roman" w:hAnsi="Times New Roman" w:eastAsia="宋体"/>
                <w:color w:val="000000"/>
                <w:sz w:val="18"/>
              </w:rPr>
              <w:t>类别名称</w:t>
            </w:r>
          </w:p>
        </w:tc>
        <w:tc>
          <w:tcPr>
            <w:tcW w:type="dxa" w:w="1824"/>
            <w:vAlign w:val="center"/>
          </w:tcPr>
          <w:p>
            <w:pPr>
              <w:spacing w:line="240" w:lineRule="auto" w:after="0"/>
              <w:jc w:val="center"/>
            </w:pPr>
            <w:r>
              <w:rPr>
                <w:rFonts w:ascii="Times New Roman" w:hAnsi="Times New Roman" w:eastAsia="宋体"/>
                <w:color w:val="000000"/>
                <w:sz w:val="18"/>
              </w:rPr>
              <w:t>2021占比%</w:t>
            </w:r>
          </w:p>
        </w:tc>
        <w:tc>
          <w:tcPr>
            <w:tcW w:type="dxa" w:w="1824"/>
            <w:vAlign w:val="center"/>
          </w:tcPr>
          <w:p>
            <w:pPr>
              <w:spacing w:line="240" w:lineRule="auto" w:after="0"/>
              <w:jc w:val="center"/>
            </w:pPr>
            <w:r>
              <w:rPr>
                <w:rFonts w:ascii="Times New Roman" w:hAnsi="Times New Roman" w:eastAsia="宋体"/>
                <w:color w:val="000000"/>
                <w:sz w:val="18"/>
              </w:rPr>
              <w:t>2025占比%</w:t>
            </w:r>
          </w:p>
        </w:tc>
        <w:tc>
          <w:tcPr>
            <w:tcW w:type="dxa" w:w="1824"/>
            <w:vAlign w:val="center"/>
          </w:tcPr>
          <w:p>
            <w:pPr>
              <w:spacing w:line="240" w:lineRule="auto" w:after="0"/>
              <w:jc w:val="center"/>
            </w:pPr>
            <w:r>
              <w:rPr>
                <w:rFonts w:ascii="Times New Roman" w:hAnsi="Times New Roman" w:eastAsia="宋体"/>
                <w:color w:val="000000"/>
                <w:sz w:val="18"/>
              </w:rPr>
              <w:t>占比变化百分点</w:t>
            </w:r>
          </w:p>
        </w:tc>
      </w:tr>
      <w:tr>
        <w:tc>
          <w:tcPr>
            <w:tcW w:type="dxa" w:w="1824"/>
            <w:vAlign w:val="center"/>
          </w:tcPr>
          <w:p>
            <w:pPr>
              <w:spacing w:line="240" w:lineRule="auto" w:after="0"/>
              <w:jc w:val="center"/>
            </w:pPr>
            <w:r>
              <w:rPr>
                <w:rFonts w:ascii="Times New Roman" w:hAnsi="Times New Roman" w:eastAsia="宋体"/>
                <w:color w:val="000000"/>
                <w:sz w:val="18"/>
              </w:rPr>
              <w:t>B</w:t>
            </w:r>
          </w:p>
        </w:tc>
        <w:tc>
          <w:tcPr>
            <w:tcW w:type="dxa" w:w="1824"/>
            <w:vAlign w:val="center"/>
          </w:tcPr>
          <w:p>
            <w:pPr>
              <w:spacing w:line="240" w:lineRule="auto" w:after="0"/>
              <w:jc w:val="center"/>
            </w:pPr>
            <w:r>
              <w:rPr>
                <w:rFonts w:ascii="Times New Roman" w:hAnsi="Times New Roman" w:eastAsia="宋体"/>
                <w:color w:val="000000"/>
                <w:sz w:val="18"/>
              </w:rPr>
              <w:t>哲学、宗教</w:t>
            </w:r>
          </w:p>
        </w:tc>
        <w:tc>
          <w:tcPr>
            <w:tcW w:type="dxa" w:w="1824"/>
            <w:vAlign w:val="center"/>
          </w:tcPr>
          <w:p>
            <w:pPr>
              <w:spacing w:line="240" w:lineRule="auto" w:after="0"/>
              <w:jc w:val="center"/>
            </w:pPr>
            <w:r>
              <w:rPr>
                <w:rFonts w:ascii="Times New Roman" w:hAnsi="Times New Roman" w:eastAsia="宋体"/>
                <w:color w:val="000000"/>
                <w:sz w:val="18"/>
              </w:rPr>
              <w:t>6.49</w:t>
            </w:r>
          </w:p>
        </w:tc>
        <w:tc>
          <w:tcPr>
            <w:tcW w:type="dxa" w:w="1824"/>
            <w:vAlign w:val="center"/>
          </w:tcPr>
          <w:p>
            <w:pPr>
              <w:spacing w:line="240" w:lineRule="auto" w:after="0"/>
              <w:jc w:val="center"/>
            </w:pPr>
            <w:r>
              <w:rPr>
                <w:rFonts w:ascii="Times New Roman" w:hAnsi="Times New Roman" w:eastAsia="宋体"/>
                <w:color w:val="000000"/>
                <w:sz w:val="18"/>
              </w:rPr>
              <w:t>12.94</w:t>
            </w:r>
          </w:p>
        </w:tc>
        <w:tc>
          <w:tcPr>
            <w:tcW w:type="dxa" w:w="1824"/>
            <w:vAlign w:val="center"/>
          </w:tcPr>
          <w:p>
            <w:pPr>
              <w:spacing w:line="240" w:lineRule="auto" w:after="0"/>
              <w:jc w:val="center"/>
            </w:pPr>
            <w:r>
              <w:rPr>
                <w:rFonts w:ascii="Times New Roman" w:hAnsi="Times New Roman" w:eastAsia="宋体"/>
                <w:color w:val="000000"/>
                <w:sz w:val="18"/>
              </w:rPr>
              <w:t>6.45</w:t>
            </w:r>
          </w:p>
        </w:tc>
      </w:tr>
      <w:tr>
        <w:tc>
          <w:tcPr>
            <w:tcW w:type="dxa" w:w="1824"/>
            <w:vAlign w:val="center"/>
          </w:tcPr>
          <w:p>
            <w:pPr>
              <w:spacing w:line="240" w:lineRule="auto" w:after="0"/>
              <w:jc w:val="center"/>
            </w:pPr>
            <w:r>
              <w:rPr>
                <w:rFonts w:ascii="Times New Roman" w:hAnsi="Times New Roman" w:eastAsia="宋体"/>
                <w:color w:val="000000"/>
                <w:sz w:val="18"/>
              </w:rPr>
              <w:t>D</w:t>
            </w:r>
          </w:p>
        </w:tc>
        <w:tc>
          <w:tcPr>
            <w:tcW w:type="dxa" w:w="1824"/>
            <w:vAlign w:val="center"/>
          </w:tcPr>
          <w:p>
            <w:pPr>
              <w:spacing w:line="240" w:lineRule="auto" w:after="0"/>
              <w:jc w:val="center"/>
            </w:pPr>
            <w:r>
              <w:rPr>
                <w:rFonts w:ascii="Times New Roman" w:hAnsi="Times New Roman" w:eastAsia="宋体"/>
                <w:color w:val="000000"/>
                <w:sz w:val="18"/>
              </w:rPr>
              <w:t>政治、法律</w:t>
            </w:r>
          </w:p>
        </w:tc>
        <w:tc>
          <w:tcPr>
            <w:tcW w:type="dxa" w:w="1824"/>
            <w:vAlign w:val="center"/>
          </w:tcPr>
          <w:p>
            <w:pPr>
              <w:spacing w:line="240" w:lineRule="auto" w:after="0"/>
              <w:jc w:val="center"/>
            </w:pPr>
            <w:r>
              <w:rPr>
                <w:rFonts w:ascii="Times New Roman" w:hAnsi="Times New Roman" w:eastAsia="宋体"/>
                <w:color w:val="000000"/>
                <w:sz w:val="18"/>
              </w:rPr>
              <w:t>10.3</w:t>
            </w:r>
          </w:p>
        </w:tc>
        <w:tc>
          <w:tcPr>
            <w:tcW w:type="dxa" w:w="1824"/>
            <w:vAlign w:val="center"/>
          </w:tcPr>
          <w:p>
            <w:pPr>
              <w:spacing w:line="240" w:lineRule="auto" w:after="0"/>
              <w:jc w:val="center"/>
            </w:pPr>
            <w:r>
              <w:rPr>
                <w:rFonts w:ascii="Times New Roman" w:hAnsi="Times New Roman" w:eastAsia="宋体"/>
                <w:color w:val="000000"/>
                <w:sz w:val="18"/>
              </w:rPr>
              <w:t>11.71</w:t>
            </w:r>
          </w:p>
        </w:tc>
        <w:tc>
          <w:tcPr>
            <w:tcW w:type="dxa" w:w="1824"/>
            <w:vAlign w:val="center"/>
          </w:tcPr>
          <w:p>
            <w:pPr>
              <w:spacing w:line="240" w:lineRule="auto" w:after="0"/>
              <w:jc w:val="center"/>
            </w:pPr>
            <w:r>
              <w:rPr>
                <w:rFonts w:ascii="Times New Roman" w:hAnsi="Times New Roman" w:eastAsia="宋体"/>
                <w:color w:val="000000"/>
                <w:sz w:val="18"/>
              </w:rPr>
              <w:t>1.41</w:t>
            </w:r>
          </w:p>
        </w:tc>
      </w:tr>
      <w:tr>
        <w:tc>
          <w:tcPr>
            <w:tcW w:type="dxa" w:w="1824"/>
            <w:vAlign w:val="center"/>
          </w:tcPr>
          <w:p>
            <w:pPr>
              <w:spacing w:line="240" w:lineRule="auto" w:after="0"/>
              <w:jc w:val="center"/>
            </w:pPr>
            <w:r>
              <w:rPr>
                <w:rFonts w:ascii="Times New Roman" w:hAnsi="Times New Roman" w:eastAsia="宋体"/>
                <w:color w:val="000000"/>
                <w:sz w:val="18"/>
              </w:rPr>
              <w:t>I</w:t>
            </w:r>
          </w:p>
        </w:tc>
        <w:tc>
          <w:tcPr>
            <w:tcW w:type="dxa" w:w="1824"/>
            <w:vAlign w:val="center"/>
          </w:tcPr>
          <w:p>
            <w:pPr>
              <w:spacing w:line="240" w:lineRule="auto" w:after="0"/>
              <w:jc w:val="center"/>
            </w:pPr>
            <w:r>
              <w:rPr>
                <w:rFonts w:ascii="Times New Roman" w:hAnsi="Times New Roman" w:eastAsia="宋体"/>
                <w:color w:val="000000"/>
                <w:sz w:val="18"/>
              </w:rPr>
              <w:t>文学</w:t>
            </w:r>
          </w:p>
        </w:tc>
        <w:tc>
          <w:tcPr>
            <w:tcW w:type="dxa" w:w="1824"/>
            <w:vAlign w:val="center"/>
          </w:tcPr>
          <w:p>
            <w:pPr>
              <w:spacing w:line="240" w:lineRule="auto" w:after="0"/>
              <w:jc w:val="center"/>
            </w:pPr>
            <w:r>
              <w:rPr>
                <w:rFonts w:ascii="Times New Roman" w:hAnsi="Times New Roman" w:eastAsia="宋体"/>
                <w:color w:val="000000"/>
                <w:sz w:val="18"/>
              </w:rPr>
              <w:t>17.98</w:t>
            </w:r>
          </w:p>
        </w:tc>
        <w:tc>
          <w:tcPr>
            <w:tcW w:type="dxa" w:w="1824"/>
            <w:vAlign w:val="center"/>
          </w:tcPr>
          <w:p>
            <w:pPr>
              <w:spacing w:line="240" w:lineRule="auto" w:after="0"/>
              <w:jc w:val="center"/>
            </w:pPr>
            <w:r>
              <w:rPr>
                <w:rFonts w:ascii="Times New Roman" w:hAnsi="Times New Roman" w:eastAsia="宋体"/>
                <w:color w:val="000000"/>
                <w:sz w:val="18"/>
              </w:rPr>
              <w:t>19.4</w:t>
            </w:r>
          </w:p>
        </w:tc>
        <w:tc>
          <w:tcPr>
            <w:tcW w:type="dxa" w:w="1824"/>
            <w:vAlign w:val="center"/>
          </w:tcPr>
          <w:p>
            <w:pPr>
              <w:spacing w:line="240" w:lineRule="auto" w:after="0"/>
              <w:jc w:val="center"/>
            </w:pPr>
            <w:r>
              <w:rPr>
                <w:rFonts w:ascii="Times New Roman" w:hAnsi="Times New Roman" w:eastAsia="宋体"/>
                <w:color w:val="000000"/>
                <w:sz w:val="18"/>
              </w:rPr>
              <w:t>1.41</w:t>
            </w:r>
          </w:p>
        </w:tc>
      </w:tr>
      <w:tr>
        <w:tc>
          <w:tcPr>
            <w:tcW w:type="dxa" w:w="1824"/>
            <w:vAlign w:val="center"/>
          </w:tcPr>
          <w:p>
            <w:pPr>
              <w:spacing w:line="240" w:lineRule="auto" w:after="0"/>
              <w:jc w:val="center"/>
            </w:pPr>
            <w:r>
              <w:rPr>
                <w:rFonts w:ascii="Times New Roman" w:hAnsi="Times New Roman" w:eastAsia="宋体"/>
                <w:color w:val="000000"/>
                <w:sz w:val="18"/>
              </w:rPr>
              <w:t>C</w:t>
            </w:r>
          </w:p>
        </w:tc>
        <w:tc>
          <w:tcPr>
            <w:tcW w:type="dxa" w:w="1824"/>
            <w:vAlign w:val="center"/>
          </w:tcPr>
          <w:p>
            <w:pPr>
              <w:spacing w:line="240" w:lineRule="auto" w:after="0"/>
              <w:jc w:val="center"/>
            </w:pPr>
            <w:r>
              <w:rPr>
                <w:rFonts w:ascii="Times New Roman" w:hAnsi="Times New Roman" w:eastAsia="宋体"/>
                <w:color w:val="000000"/>
                <w:sz w:val="18"/>
              </w:rPr>
              <w:t>社会科学总论</w:t>
            </w:r>
          </w:p>
        </w:tc>
        <w:tc>
          <w:tcPr>
            <w:tcW w:type="dxa" w:w="1824"/>
            <w:vAlign w:val="center"/>
          </w:tcPr>
          <w:p>
            <w:pPr>
              <w:spacing w:line="240" w:lineRule="auto" w:after="0"/>
              <w:jc w:val="center"/>
            </w:pPr>
            <w:r>
              <w:rPr>
                <w:rFonts w:ascii="Times New Roman" w:hAnsi="Times New Roman" w:eastAsia="宋体"/>
                <w:color w:val="000000"/>
                <w:sz w:val="18"/>
              </w:rPr>
              <w:t>3.46</w:t>
            </w:r>
          </w:p>
        </w:tc>
        <w:tc>
          <w:tcPr>
            <w:tcW w:type="dxa" w:w="1824"/>
            <w:vAlign w:val="center"/>
          </w:tcPr>
          <w:p>
            <w:pPr>
              <w:spacing w:line="240" w:lineRule="auto" w:after="0"/>
              <w:jc w:val="center"/>
            </w:pPr>
            <w:r>
              <w:rPr>
                <w:rFonts w:ascii="Times New Roman" w:hAnsi="Times New Roman" w:eastAsia="宋体"/>
                <w:color w:val="000000"/>
                <w:sz w:val="18"/>
              </w:rPr>
              <w:t>4.82</w:t>
            </w:r>
          </w:p>
        </w:tc>
        <w:tc>
          <w:tcPr>
            <w:tcW w:type="dxa" w:w="1824"/>
            <w:vAlign w:val="center"/>
          </w:tcPr>
          <w:p>
            <w:pPr>
              <w:spacing w:line="240" w:lineRule="auto" w:after="0"/>
              <w:jc w:val="center"/>
            </w:pPr>
            <w:r>
              <w:rPr>
                <w:rFonts w:ascii="Times New Roman" w:hAnsi="Times New Roman" w:eastAsia="宋体"/>
                <w:color w:val="000000"/>
                <w:sz w:val="18"/>
              </w:rPr>
              <w:t>1.36</w:t>
            </w:r>
          </w:p>
        </w:tc>
      </w:tr>
      <w:tr>
        <w:tc>
          <w:tcPr>
            <w:tcW w:type="dxa" w:w="1824"/>
            <w:vAlign w:val="center"/>
          </w:tcPr>
          <w:p>
            <w:pPr>
              <w:spacing w:line="240" w:lineRule="auto" w:after="0"/>
              <w:jc w:val="center"/>
            </w:pPr>
            <w:r>
              <w:rPr>
                <w:rFonts w:ascii="Times New Roman" w:hAnsi="Times New Roman" w:eastAsia="宋体"/>
                <w:color w:val="000000"/>
                <w:sz w:val="18"/>
              </w:rPr>
              <w:t>J</w:t>
            </w:r>
          </w:p>
        </w:tc>
        <w:tc>
          <w:tcPr>
            <w:tcW w:type="dxa" w:w="1824"/>
            <w:vAlign w:val="center"/>
          </w:tcPr>
          <w:p>
            <w:pPr>
              <w:spacing w:line="240" w:lineRule="auto" w:after="0"/>
              <w:jc w:val="center"/>
            </w:pPr>
            <w:r>
              <w:rPr>
                <w:rFonts w:ascii="Times New Roman" w:hAnsi="Times New Roman" w:eastAsia="宋体"/>
                <w:color w:val="000000"/>
                <w:sz w:val="18"/>
              </w:rPr>
              <w:t>艺术</w:t>
            </w:r>
          </w:p>
        </w:tc>
        <w:tc>
          <w:tcPr>
            <w:tcW w:type="dxa" w:w="1824"/>
            <w:vAlign w:val="center"/>
          </w:tcPr>
          <w:p>
            <w:pPr>
              <w:spacing w:line="240" w:lineRule="auto" w:after="0"/>
              <w:jc w:val="center"/>
            </w:pPr>
            <w:r>
              <w:rPr>
                <w:rFonts w:ascii="Times New Roman" w:hAnsi="Times New Roman" w:eastAsia="宋体"/>
                <w:color w:val="000000"/>
                <w:sz w:val="18"/>
              </w:rPr>
              <w:t>4.03</w:t>
            </w:r>
          </w:p>
        </w:tc>
        <w:tc>
          <w:tcPr>
            <w:tcW w:type="dxa" w:w="1824"/>
            <w:vAlign w:val="center"/>
          </w:tcPr>
          <w:p>
            <w:pPr>
              <w:spacing w:line="240" w:lineRule="auto" w:after="0"/>
              <w:jc w:val="center"/>
            </w:pPr>
            <w:r>
              <w:rPr>
                <w:rFonts w:ascii="Times New Roman" w:hAnsi="Times New Roman" w:eastAsia="宋体"/>
                <w:color w:val="000000"/>
                <w:sz w:val="18"/>
              </w:rPr>
              <w:t>4.74</w:t>
            </w:r>
          </w:p>
        </w:tc>
        <w:tc>
          <w:tcPr>
            <w:tcW w:type="dxa" w:w="1824"/>
            <w:vAlign w:val="center"/>
          </w:tcPr>
          <w:p>
            <w:pPr>
              <w:spacing w:line="240" w:lineRule="auto" w:after="0"/>
              <w:jc w:val="center"/>
            </w:pPr>
            <w:r>
              <w:rPr>
                <w:rFonts w:ascii="Times New Roman" w:hAnsi="Times New Roman" w:eastAsia="宋体"/>
                <w:color w:val="000000"/>
                <w:sz w:val="18"/>
              </w:rPr>
              <w:t>0.71</w:t>
            </w:r>
          </w:p>
        </w:tc>
      </w:tr>
      <w:tr>
        <w:tc>
          <w:tcPr>
            <w:tcW w:type="dxa" w:w="1824"/>
            <w:vAlign w:val="center"/>
          </w:tcPr>
          <w:p>
            <w:pPr>
              <w:spacing w:line="240" w:lineRule="auto" w:after="0"/>
              <w:jc w:val="center"/>
            </w:pPr>
            <w:r>
              <w:rPr>
                <w:rFonts w:ascii="Times New Roman" w:hAnsi="Times New Roman" w:eastAsia="宋体"/>
                <w:color w:val="000000"/>
                <w:sz w:val="18"/>
              </w:rPr>
              <w:t>R</w:t>
            </w:r>
          </w:p>
        </w:tc>
        <w:tc>
          <w:tcPr>
            <w:tcW w:type="dxa" w:w="1824"/>
            <w:vAlign w:val="center"/>
          </w:tcPr>
          <w:p>
            <w:pPr>
              <w:spacing w:line="240" w:lineRule="auto" w:after="0"/>
              <w:jc w:val="center"/>
            </w:pPr>
            <w:r>
              <w:rPr>
                <w:rFonts w:ascii="Times New Roman" w:hAnsi="Times New Roman" w:eastAsia="宋体"/>
                <w:color w:val="000000"/>
                <w:sz w:val="18"/>
              </w:rPr>
              <w:t>医药、卫生</w:t>
            </w:r>
          </w:p>
        </w:tc>
        <w:tc>
          <w:tcPr>
            <w:tcW w:type="dxa" w:w="1824"/>
            <w:vAlign w:val="center"/>
          </w:tcPr>
          <w:p>
            <w:pPr>
              <w:spacing w:line="240" w:lineRule="auto" w:after="0"/>
              <w:jc w:val="center"/>
            </w:pPr>
            <w:r>
              <w:rPr>
                <w:rFonts w:ascii="Times New Roman" w:hAnsi="Times New Roman" w:eastAsia="宋体"/>
                <w:color w:val="000000"/>
                <w:sz w:val="18"/>
              </w:rPr>
              <w:t>1.97</w:t>
            </w:r>
          </w:p>
        </w:tc>
        <w:tc>
          <w:tcPr>
            <w:tcW w:type="dxa" w:w="1824"/>
            <w:vAlign w:val="center"/>
          </w:tcPr>
          <w:p>
            <w:pPr>
              <w:spacing w:line="240" w:lineRule="auto" w:after="0"/>
              <w:jc w:val="center"/>
            </w:pPr>
            <w:r>
              <w:rPr>
                <w:rFonts w:ascii="Times New Roman" w:hAnsi="Times New Roman" w:eastAsia="宋体"/>
                <w:color w:val="000000"/>
                <w:sz w:val="18"/>
              </w:rPr>
              <w:t>2.53</w:t>
            </w:r>
          </w:p>
        </w:tc>
        <w:tc>
          <w:tcPr>
            <w:tcW w:type="dxa" w:w="1824"/>
            <w:vAlign w:val="center"/>
          </w:tcPr>
          <w:p>
            <w:pPr>
              <w:spacing w:line="240" w:lineRule="auto" w:after="0"/>
              <w:jc w:val="center"/>
            </w:pPr>
            <w:r>
              <w:rPr>
                <w:rFonts w:ascii="Times New Roman" w:hAnsi="Times New Roman" w:eastAsia="宋体"/>
                <w:color w:val="000000"/>
                <w:sz w:val="18"/>
              </w:rPr>
              <w:t>0.57</w:t>
            </w:r>
          </w:p>
        </w:tc>
      </w:tr>
      <w:tr>
        <w:tc>
          <w:tcPr>
            <w:tcW w:type="dxa" w:w="1824"/>
            <w:vAlign w:val="center"/>
          </w:tcPr>
          <w:p>
            <w:pPr>
              <w:spacing w:line="240" w:lineRule="auto" w:after="0"/>
              <w:jc w:val="center"/>
            </w:pPr>
            <w:r>
              <w:rPr>
                <w:rFonts w:ascii="Times New Roman" w:hAnsi="Times New Roman" w:eastAsia="宋体"/>
                <w:color w:val="000000"/>
                <w:sz w:val="18"/>
              </w:rPr>
              <w:t>P</w:t>
            </w:r>
          </w:p>
        </w:tc>
        <w:tc>
          <w:tcPr>
            <w:tcW w:type="dxa" w:w="1824"/>
            <w:vAlign w:val="center"/>
          </w:tcPr>
          <w:p>
            <w:pPr>
              <w:spacing w:line="240" w:lineRule="auto" w:after="0"/>
              <w:jc w:val="center"/>
            </w:pPr>
            <w:r>
              <w:rPr>
                <w:rFonts w:ascii="Times New Roman" w:hAnsi="Times New Roman" w:eastAsia="宋体"/>
                <w:color w:val="000000"/>
                <w:sz w:val="18"/>
              </w:rPr>
              <w:t>天文学、地球科学</w:t>
            </w:r>
          </w:p>
        </w:tc>
        <w:tc>
          <w:tcPr>
            <w:tcW w:type="dxa" w:w="1824"/>
            <w:vAlign w:val="center"/>
          </w:tcPr>
          <w:p>
            <w:pPr>
              <w:spacing w:line="240" w:lineRule="auto" w:after="0"/>
              <w:jc w:val="center"/>
            </w:pPr>
            <w:r>
              <w:rPr>
                <w:rFonts w:ascii="Times New Roman" w:hAnsi="Times New Roman" w:eastAsia="宋体"/>
                <w:color w:val="000000"/>
                <w:sz w:val="18"/>
              </w:rPr>
              <w:t>0.72</w:t>
            </w:r>
          </w:p>
        </w:tc>
        <w:tc>
          <w:tcPr>
            <w:tcW w:type="dxa" w:w="1824"/>
            <w:vAlign w:val="center"/>
          </w:tcPr>
          <w:p>
            <w:pPr>
              <w:spacing w:line="240" w:lineRule="auto" w:after="0"/>
              <w:jc w:val="center"/>
            </w:pPr>
            <w:r>
              <w:rPr>
                <w:rFonts w:ascii="Times New Roman" w:hAnsi="Times New Roman" w:eastAsia="宋体"/>
                <w:color w:val="000000"/>
                <w:sz w:val="18"/>
              </w:rPr>
              <w:t>1.1</w:t>
            </w:r>
          </w:p>
        </w:tc>
        <w:tc>
          <w:tcPr>
            <w:tcW w:type="dxa" w:w="1824"/>
            <w:vAlign w:val="center"/>
          </w:tcPr>
          <w:p>
            <w:pPr>
              <w:spacing w:line="240" w:lineRule="auto" w:after="0"/>
              <w:jc w:val="center"/>
            </w:pPr>
            <w:r>
              <w:rPr>
                <w:rFonts w:ascii="Times New Roman" w:hAnsi="Times New Roman" w:eastAsia="宋体"/>
                <w:color w:val="000000"/>
                <w:sz w:val="18"/>
              </w:rPr>
              <w:t>0.38</w:t>
            </w:r>
          </w:p>
        </w:tc>
      </w:tr>
      <w:tr>
        <w:tc>
          <w:tcPr>
            <w:tcW w:type="dxa" w:w="1824"/>
            <w:vAlign w:val="center"/>
          </w:tcPr>
          <w:p>
            <w:pPr>
              <w:spacing w:line="240" w:lineRule="auto" w:after="0"/>
              <w:jc w:val="center"/>
            </w:pPr>
            <w:r>
              <w:rPr>
                <w:rFonts w:ascii="Times New Roman" w:hAnsi="Times New Roman" w:eastAsia="宋体"/>
                <w:color w:val="000000"/>
                <w:sz w:val="18"/>
              </w:rPr>
              <w:t>N</w:t>
            </w:r>
          </w:p>
        </w:tc>
        <w:tc>
          <w:tcPr>
            <w:tcW w:type="dxa" w:w="1824"/>
            <w:vAlign w:val="center"/>
          </w:tcPr>
          <w:p>
            <w:pPr>
              <w:spacing w:line="240" w:lineRule="auto" w:after="0"/>
              <w:jc w:val="center"/>
            </w:pPr>
            <w:r>
              <w:rPr>
                <w:rFonts w:ascii="Times New Roman" w:hAnsi="Times New Roman" w:eastAsia="宋体"/>
                <w:color w:val="000000"/>
                <w:sz w:val="18"/>
              </w:rPr>
              <w:t>自然科学总论</w:t>
            </w:r>
          </w:p>
        </w:tc>
        <w:tc>
          <w:tcPr>
            <w:tcW w:type="dxa" w:w="1824"/>
            <w:vAlign w:val="center"/>
          </w:tcPr>
          <w:p>
            <w:pPr>
              <w:spacing w:line="240" w:lineRule="auto" w:after="0"/>
              <w:jc w:val="center"/>
            </w:pPr>
            <w:r>
              <w:rPr>
                <w:rFonts w:ascii="Times New Roman" w:hAnsi="Times New Roman" w:eastAsia="宋体"/>
                <w:color w:val="000000"/>
                <w:sz w:val="18"/>
              </w:rPr>
              <w:t>0.47</w:t>
            </w:r>
          </w:p>
        </w:tc>
        <w:tc>
          <w:tcPr>
            <w:tcW w:type="dxa" w:w="1824"/>
            <w:vAlign w:val="center"/>
          </w:tcPr>
          <w:p>
            <w:pPr>
              <w:spacing w:line="240" w:lineRule="auto" w:after="0"/>
              <w:jc w:val="center"/>
            </w:pPr>
            <w:r>
              <w:rPr>
                <w:rFonts w:ascii="Times New Roman" w:hAnsi="Times New Roman" w:eastAsia="宋体"/>
                <w:color w:val="000000"/>
                <w:sz w:val="18"/>
              </w:rPr>
              <w:t>0.67</w:t>
            </w:r>
          </w:p>
        </w:tc>
        <w:tc>
          <w:tcPr>
            <w:tcW w:type="dxa" w:w="1824"/>
            <w:vAlign w:val="center"/>
          </w:tcPr>
          <w:p>
            <w:pPr>
              <w:spacing w:line="240" w:lineRule="auto" w:after="0"/>
              <w:jc w:val="center"/>
            </w:pPr>
            <w:r>
              <w:rPr>
                <w:rFonts w:ascii="Times New Roman" w:hAnsi="Times New Roman" w:eastAsia="宋体"/>
                <w:color w:val="000000"/>
                <w:sz w:val="18"/>
              </w:rPr>
              <w:t>0.2</w:t>
            </w:r>
          </w:p>
        </w:tc>
      </w:tr>
      <w:tr>
        <w:tc>
          <w:tcPr>
            <w:tcW w:type="dxa" w:w="1824"/>
            <w:vAlign w:val="center"/>
          </w:tcPr>
          <w:p>
            <w:pPr>
              <w:spacing w:line="240" w:lineRule="auto" w:after="0"/>
              <w:jc w:val="center"/>
            </w:pPr>
            <w:r>
              <w:rPr>
                <w:rFonts w:ascii="Times New Roman" w:hAnsi="Times New Roman" w:eastAsia="宋体"/>
                <w:color w:val="000000"/>
                <w:sz w:val="18"/>
              </w:rPr>
              <w:t>U</w:t>
            </w:r>
          </w:p>
        </w:tc>
        <w:tc>
          <w:tcPr>
            <w:tcW w:type="dxa" w:w="1824"/>
            <w:vAlign w:val="center"/>
          </w:tcPr>
          <w:p>
            <w:pPr>
              <w:spacing w:line="240" w:lineRule="auto" w:after="0"/>
              <w:jc w:val="center"/>
            </w:pPr>
            <w:r>
              <w:rPr>
                <w:rFonts w:ascii="Times New Roman" w:hAnsi="Times New Roman" w:eastAsia="宋体"/>
                <w:color w:val="000000"/>
                <w:sz w:val="18"/>
              </w:rPr>
              <w:t>交通运输</w:t>
            </w:r>
          </w:p>
        </w:tc>
        <w:tc>
          <w:tcPr>
            <w:tcW w:type="dxa" w:w="1824"/>
            <w:vAlign w:val="center"/>
          </w:tcPr>
          <w:p>
            <w:pPr>
              <w:spacing w:line="240" w:lineRule="auto" w:after="0"/>
              <w:jc w:val="center"/>
            </w:pPr>
            <w:r>
              <w:rPr>
                <w:rFonts w:ascii="Times New Roman" w:hAnsi="Times New Roman" w:eastAsia="宋体"/>
                <w:color w:val="000000"/>
                <w:sz w:val="18"/>
              </w:rPr>
              <w:t>0.17</w:t>
            </w:r>
          </w:p>
        </w:tc>
        <w:tc>
          <w:tcPr>
            <w:tcW w:type="dxa" w:w="1824"/>
            <w:vAlign w:val="center"/>
          </w:tcPr>
          <w:p>
            <w:pPr>
              <w:spacing w:line="240" w:lineRule="auto" w:after="0"/>
              <w:jc w:val="center"/>
            </w:pPr>
            <w:r>
              <w:rPr>
                <w:rFonts w:ascii="Times New Roman" w:hAnsi="Times New Roman" w:eastAsia="宋体"/>
                <w:color w:val="000000"/>
                <w:sz w:val="18"/>
              </w:rPr>
              <w:t>0.3</w:t>
            </w:r>
          </w:p>
        </w:tc>
        <w:tc>
          <w:tcPr>
            <w:tcW w:type="dxa" w:w="1824"/>
            <w:vAlign w:val="center"/>
          </w:tcPr>
          <w:p>
            <w:pPr>
              <w:spacing w:line="240" w:lineRule="auto" w:after="0"/>
              <w:jc w:val="center"/>
            </w:pPr>
            <w:r>
              <w:rPr>
                <w:rFonts w:ascii="Times New Roman" w:hAnsi="Times New Roman" w:eastAsia="宋体"/>
                <w:color w:val="000000"/>
                <w:sz w:val="18"/>
              </w:rPr>
              <w:t>0.12</w:t>
            </w:r>
          </w:p>
        </w:tc>
      </w:tr>
      <w:tr>
        <w:tc>
          <w:tcPr>
            <w:tcW w:type="dxa" w:w="1824"/>
            <w:vAlign w:val="center"/>
          </w:tcPr>
          <w:p>
            <w:pPr>
              <w:spacing w:line="240" w:lineRule="auto" w:after="0"/>
              <w:jc w:val="center"/>
            </w:pPr>
            <w:r>
              <w:rPr>
                <w:rFonts w:ascii="Times New Roman" w:hAnsi="Times New Roman" w:eastAsia="宋体"/>
                <w:color w:val="000000"/>
                <w:sz w:val="18"/>
              </w:rPr>
              <w:t>V</w:t>
            </w:r>
          </w:p>
        </w:tc>
        <w:tc>
          <w:tcPr>
            <w:tcW w:type="dxa" w:w="1824"/>
            <w:vAlign w:val="center"/>
          </w:tcPr>
          <w:p>
            <w:pPr>
              <w:spacing w:line="240" w:lineRule="auto" w:after="0"/>
              <w:jc w:val="center"/>
            </w:pPr>
            <w:r>
              <w:rPr>
                <w:rFonts w:ascii="Times New Roman" w:hAnsi="Times New Roman" w:eastAsia="宋体"/>
                <w:color w:val="000000"/>
                <w:sz w:val="18"/>
              </w:rPr>
              <w:t>航空、航天</w:t>
            </w:r>
          </w:p>
        </w:tc>
        <w:tc>
          <w:tcPr>
            <w:tcW w:type="dxa" w:w="1824"/>
            <w:vAlign w:val="center"/>
          </w:tcPr>
          <w:p>
            <w:pPr>
              <w:spacing w:line="240" w:lineRule="auto" w:after="0"/>
              <w:jc w:val="center"/>
            </w:pPr>
            <w:r>
              <w:rPr>
                <w:rFonts w:ascii="Times New Roman" w:hAnsi="Times New Roman" w:eastAsia="宋体"/>
                <w:color w:val="000000"/>
                <w:sz w:val="18"/>
              </w:rPr>
              <w:t>0.08</w:t>
            </w:r>
          </w:p>
        </w:tc>
        <w:tc>
          <w:tcPr>
            <w:tcW w:type="dxa" w:w="1824"/>
            <w:vAlign w:val="center"/>
          </w:tcPr>
          <w:p>
            <w:pPr>
              <w:spacing w:line="240" w:lineRule="auto" w:after="0"/>
              <w:jc w:val="center"/>
            </w:pPr>
            <w:r>
              <w:rPr>
                <w:rFonts w:ascii="Times New Roman" w:hAnsi="Times New Roman" w:eastAsia="宋体"/>
                <w:color w:val="000000"/>
                <w:sz w:val="18"/>
              </w:rPr>
              <w:t>0.15</w:t>
            </w:r>
          </w:p>
        </w:tc>
        <w:tc>
          <w:tcPr>
            <w:tcW w:type="dxa" w:w="1824"/>
            <w:vAlign w:val="center"/>
          </w:tcPr>
          <w:p>
            <w:pPr>
              <w:spacing w:line="240" w:lineRule="auto" w:after="0"/>
              <w:jc w:val="center"/>
            </w:pPr>
            <w:r>
              <w:rPr>
                <w:rFonts w:ascii="Times New Roman" w:hAnsi="Times New Roman" w:eastAsia="宋体"/>
                <w:color w:val="000000"/>
                <w:sz w:val="18"/>
              </w:rPr>
              <w:t>0.07</w:t>
            </w:r>
          </w:p>
        </w:tc>
      </w:tr>
      <w:tr>
        <w:tc>
          <w:tcPr>
            <w:tcW w:type="dxa" w:w="1824"/>
            <w:vAlign w:val="center"/>
          </w:tcPr>
          <w:p>
            <w:pPr>
              <w:spacing w:line="240" w:lineRule="auto" w:after="0"/>
              <w:jc w:val="center"/>
            </w:pPr>
            <w:r>
              <w:rPr>
                <w:rFonts w:ascii="Times New Roman" w:hAnsi="Times New Roman" w:eastAsia="宋体"/>
                <w:color w:val="000000"/>
                <w:sz w:val="18"/>
              </w:rPr>
              <w:t>Q</w:t>
            </w:r>
          </w:p>
        </w:tc>
        <w:tc>
          <w:tcPr>
            <w:tcW w:type="dxa" w:w="1824"/>
            <w:vAlign w:val="center"/>
          </w:tcPr>
          <w:p>
            <w:pPr>
              <w:spacing w:line="240" w:lineRule="auto" w:after="0"/>
              <w:jc w:val="center"/>
            </w:pPr>
            <w:r>
              <w:rPr>
                <w:rFonts w:ascii="Times New Roman" w:hAnsi="Times New Roman" w:eastAsia="宋体"/>
                <w:color w:val="000000"/>
                <w:sz w:val="18"/>
              </w:rPr>
              <w:t>生物科学</w:t>
            </w:r>
          </w:p>
        </w:tc>
        <w:tc>
          <w:tcPr>
            <w:tcW w:type="dxa" w:w="1824"/>
            <w:vAlign w:val="center"/>
          </w:tcPr>
          <w:p>
            <w:pPr>
              <w:spacing w:line="240" w:lineRule="auto" w:after="0"/>
              <w:jc w:val="center"/>
            </w:pPr>
            <w:r>
              <w:rPr>
                <w:rFonts w:ascii="Times New Roman" w:hAnsi="Times New Roman" w:eastAsia="宋体"/>
                <w:color w:val="000000"/>
                <w:sz w:val="18"/>
              </w:rPr>
              <w:t>1.25</w:t>
            </w:r>
          </w:p>
        </w:tc>
        <w:tc>
          <w:tcPr>
            <w:tcW w:type="dxa" w:w="1824"/>
            <w:vAlign w:val="center"/>
          </w:tcPr>
          <w:p>
            <w:pPr>
              <w:spacing w:line="240" w:lineRule="auto" w:after="0"/>
              <w:jc w:val="center"/>
            </w:pPr>
            <w:r>
              <w:rPr>
                <w:rFonts w:ascii="Times New Roman" w:hAnsi="Times New Roman" w:eastAsia="宋体"/>
                <w:color w:val="000000"/>
                <w:sz w:val="18"/>
              </w:rPr>
              <w:t>1.29</w:t>
            </w:r>
          </w:p>
        </w:tc>
        <w:tc>
          <w:tcPr>
            <w:tcW w:type="dxa" w:w="1824"/>
            <w:vAlign w:val="center"/>
          </w:tcPr>
          <w:p>
            <w:pPr>
              <w:spacing w:line="240" w:lineRule="auto" w:after="0"/>
              <w:jc w:val="center"/>
            </w:pPr>
            <w:r>
              <w:rPr>
                <w:rFonts w:ascii="Times New Roman" w:hAnsi="Times New Roman" w:eastAsia="宋体"/>
                <w:color w:val="000000"/>
                <w:sz w:val="18"/>
              </w:rPr>
              <w:t>0.04</w:t>
            </w:r>
          </w:p>
        </w:tc>
      </w:tr>
      <w:tr>
        <w:tc>
          <w:tcPr>
            <w:tcW w:type="dxa" w:w="1824"/>
            <w:vAlign w:val="center"/>
          </w:tcPr>
          <w:p>
            <w:pPr>
              <w:spacing w:line="240" w:lineRule="auto" w:after="0"/>
              <w:jc w:val="center"/>
            </w:pPr>
            <w:r>
              <w:rPr>
                <w:rFonts w:ascii="Times New Roman" w:hAnsi="Times New Roman" w:eastAsia="宋体"/>
                <w:color w:val="000000"/>
                <w:sz w:val="18"/>
              </w:rPr>
              <w:t>E</w:t>
            </w:r>
          </w:p>
        </w:tc>
        <w:tc>
          <w:tcPr>
            <w:tcW w:type="dxa" w:w="1824"/>
            <w:vAlign w:val="center"/>
          </w:tcPr>
          <w:p>
            <w:pPr>
              <w:spacing w:line="240" w:lineRule="auto" w:after="0"/>
              <w:jc w:val="center"/>
            </w:pPr>
            <w:r>
              <w:rPr>
                <w:rFonts w:ascii="Times New Roman" w:hAnsi="Times New Roman" w:eastAsia="宋体"/>
                <w:color w:val="000000"/>
                <w:sz w:val="18"/>
              </w:rPr>
              <w:t>军事</w:t>
            </w:r>
          </w:p>
        </w:tc>
        <w:tc>
          <w:tcPr>
            <w:tcW w:type="dxa" w:w="1824"/>
            <w:vAlign w:val="center"/>
          </w:tcPr>
          <w:p>
            <w:pPr>
              <w:spacing w:line="240" w:lineRule="auto" w:after="0"/>
              <w:jc w:val="center"/>
            </w:pPr>
            <w:r>
              <w:rPr>
                <w:rFonts w:ascii="Times New Roman" w:hAnsi="Times New Roman" w:eastAsia="宋体"/>
                <w:color w:val="000000"/>
                <w:sz w:val="18"/>
              </w:rPr>
              <w:t>0.27</w:t>
            </w:r>
          </w:p>
        </w:tc>
        <w:tc>
          <w:tcPr>
            <w:tcW w:type="dxa" w:w="1824"/>
            <w:vAlign w:val="center"/>
          </w:tcPr>
          <w:p>
            <w:pPr>
              <w:spacing w:line="240" w:lineRule="auto" w:after="0"/>
              <w:jc w:val="center"/>
            </w:pPr>
            <w:r>
              <w:rPr>
                <w:rFonts w:ascii="Times New Roman" w:hAnsi="Times New Roman" w:eastAsia="宋体"/>
                <w:color w:val="000000"/>
                <w:sz w:val="18"/>
              </w:rPr>
              <w:t>0.21</w:t>
            </w:r>
          </w:p>
        </w:tc>
        <w:tc>
          <w:tcPr>
            <w:tcW w:type="dxa" w:w="1824"/>
            <w:vAlign w:val="center"/>
          </w:tcPr>
          <w:p>
            <w:pPr>
              <w:spacing w:line="240" w:lineRule="auto" w:after="0"/>
              <w:jc w:val="center"/>
            </w:pPr>
            <w:r>
              <w:rPr>
                <w:rFonts w:ascii="Times New Roman" w:hAnsi="Times New Roman" w:eastAsia="宋体"/>
                <w:color w:val="000000"/>
                <w:sz w:val="18"/>
              </w:rPr>
              <w:t>-0.06</w:t>
            </w:r>
          </w:p>
        </w:tc>
      </w:tr>
    </w:tbl>
    <w:p>
      <w:pPr>
        <w:spacing w:line="300" w:lineRule="auto" w:after="60"/>
        <w:ind w:firstLine="480"/>
        <w:jc w:val="both"/>
      </w:pPr>
      <w:r>
        <w:rPr>
          <w:rFonts w:ascii="Times New Roman" w:hAnsi="Times New Roman" w:eastAsia="宋体"/>
          <w:b w:val="0"/>
          <w:color w:val="000000"/>
          <w:sz w:val="24"/>
        </w:rPr>
        <w:t>从案例写作的角度看，这一总体分析只能承担“交代背景”的功能，真正能够体现民族特色高校身份的，是那些不易在普通高校复制、且与学校学科和文化使命紧密相连的资源板块。因此，本文进一步把民族文献特色馆藏从总体样本中抽离出来，作为聚焦分析对象。</w:t>
      </w:r>
    </w:p>
    <w:p>
      <w:pPr>
        <w:spacing w:line="300" w:lineRule="auto" w:before="120" w:after="60"/>
        <w:jc w:val="left"/>
      </w:pPr>
      <w:r>
        <w:rPr>
          <w:rFonts w:ascii="Times New Roman" w:hAnsi="Times New Roman" w:eastAsia="黑体"/>
          <w:b/>
          <w:color w:val="000000"/>
          <w:sz w:val="28"/>
        </w:rPr>
        <w:t>3. 聚焦分析：民族文献特色馆藏建设</w:t>
      </w:r>
    </w:p>
    <w:p>
      <w:pPr>
        <w:spacing w:line="300" w:lineRule="auto" w:before="120" w:after="60"/>
        <w:jc w:val="left"/>
      </w:pPr>
      <w:r>
        <w:rPr>
          <w:rFonts w:ascii="Times New Roman" w:hAnsi="Times New Roman" w:eastAsia="黑体"/>
          <w:b/>
          <w:color w:val="000000"/>
          <w:sz w:val="24"/>
        </w:rPr>
        <w:t>3.1 为什么聚焦民族文献特色馆藏</w:t>
      </w:r>
    </w:p>
    <w:p>
      <w:pPr>
        <w:spacing w:line="300" w:lineRule="auto" w:after="60"/>
        <w:ind w:firstLine="480"/>
        <w:jc w:val="both"/>
      </w:pPr>
      <w:r>
        <w:rPr>
          <w:rFonts w:ascii="Times New Roman" w:hAnsi="Times New Roman" w:eastAsia="宋体"/>
          <w:b w:val="0"/>
          <w:color w:val="000000"/>
          <w:sz w:val="24"/>
        </w:rPr>
        <w:t>H大学是民族特色高校，图书馆的资源建设如果不能在民族文献、民族文化和民族学科支撑方面体现差异性，那么全馆的结构变化再充分，也只能得到一个“和其他高校类似”的结论。从数据上看，民族文献借阅（L203）、民族文献阅览（L201）和民大文库L102三处馆藏，共计9015条记录、3632种题名，均价165.90元，中位价70元；其中2021—2025年新增7108册、2546种题名，占全馆同期新增馆藏的4.98%。对一所民族特色高校而言，约5%的新增馆藏集中投向极具学校特色的资源区，已经足以说明这一板块不是边缘资源，而是学校资源建设战略中的重点板块之一。</w:t>
      </w:r>
    </w:p>
    <w:p>
      <w:pPr>
        <w:spacing w:line="300" w:lineRule="auto" w:after="60"/>
        <w:jc w:val="center"/>
      </w:pPr>
      <w:r>
        <w:rPr>
          <w:rFonts w:ascii="Times New Roman" w:hAnsi="Times New Roman" w:eastAsia="宋体"/>
          <w:b/>
          <w:color w:val="000000"/>
          <w:sz w:val="21"/>
        </w:rPr>
        <w:t>表2 民族文献特色馆藏的总体规模</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spacing w:line="240" w:lineRule="auto" w:after="0"/>
              <w:jc w:val="center"/>
            </w:pPr>
            <w:r>
              <w:rPr>
                <w:rFonts w:ascii="Times New Roman" w:hAnsi="Times New Roman" w:eastAsia="宋体"/>
                <w:color w:val="000000"/>
                <w:sz w:val="19"/>
              </w:rPr>
              <w:t>指标</w:t>
            </w:r>
          </w:p>
        </w:tc>
        <w:tc>
          <w:tcPr>
            <w:tcW w:type="dxa" w:w="4561"/>
            <w:vAlign w:val="center"/>
          </w:tcPr>
          <w:p>
            <w:pPr>
              <w:spacing w:line="240" w:lineRule="auto" w:after="0"/>
              <w:jc w:val="center"/>
            </w:pPr>
            <w:r>
              <w:rPr>
                <w:rFonts w:ascii="Times New Roman" w:hAnsi="Times New Roman" w:eastAsia="宋体"/>
                <w:color w:val="000000"/>
                <w:sz w:val="19"/>
              </w:rPr>
              <w:t>数值</w:t>
            </w:r>
          </w:p>
        </w:tc>
      </w:tr>
      <w:tr>
        <w:tc>
          <w:tcPr>
            <w:tcW w:type="dxa" w:w="4561"/>
            <w:vAlign w:val="center"/>
          </w:tcPr>
          <w:p>
            <w:pPr>
              <w:spacing w:line="240" w:lineRule="auto" w:after="0"/>
              <w:jc w:val="center"/>
            </w:pPr>
            <w:r>
              <w:rPr>
                <w:rFonts w:ascii="Times New Roman" w:hAnsi="Times New Roman" w:eastAsia="宋体"/>
                <w:color w:val="000000"/>
                <w:sz w:val="19"/>
              </w:rPr>
              <w:t>特色馆藏总记录数</w:t>
            </w:r>
          </w:p>
        </w:tc>
        <w:tc>
          <w:tcPr>
            <w:tcW w:type="dxa" w:w="4561"/>
            <w:vAlign w:val="center"/>
          </w:tcPr>
          <w:p>
            <w:pPr>
              <w:spacing w:line="240" w:lineRule="auto" w:after="0"/>
              <w:jc w:val="center"/>
            </w:pPr>
            <w:r>
              <w:rPr>
                <w:rFonts w:ascii="Times New Roman" w:hAnsi="Times New Roman" w:eastAsia="宋体"/>
                <w:color w:val="000000"/>
                <w:sz w:val="19"/>
              </w:rPr>
              <w:t>9015.0</w:t>
            </w:r>
          </w:p>
        </w:tc>
      </w:tr>
      <w:tr>
        <w:tc>
          <w:tcPr>
            <w:tcW w:type="dxa" w:w="4561"/>
            <w:vAlign w:val="center"/>
          </w:tcPr>
          <w:p>
            <w:pPr>
              <w:spacing w:line="240" w:lineRule="auto" w:after="0"/>
              <w:jc w:val="center"/>
            </w:pPr>
            <w:r>
              <w:rPr>
                <w:rFonts w:ascii="Times New Roman" w:hAnsi="Times New Roman" w:eastAsia="宋体"/>
                <w:color w:val="000000"/>
                <w:sz w:val="19"/>
              </w:rPr>
              <w:t>特色馆藏总题名数</w:t>
            </w:r>
          </w:p>
        </w:tc>
        <w:tc>
          <w:tcPr>
            <w:tcW w:type="dxa" w:w="4561"/>
            <w:vAlign w:val="center"/>
          </w:tcPr>
          <w:p>
            <w:pPr>
              <w:spacing w:line="240" w:lineRule="auto" w:after="0"/>
              <w:jc w:val="center"/>
            </w:pPr>
            <w:r>
              <w:rPr>
                <w:rFonts w:ascii="Times New Roman" w:hAnsi="Times New Roman" w:eastAsia="宋体"/>
                <w:color w:val="000000"/>
                <w:sz w:val="19"/>
              </w:rPr>
              <w:t>3632.0</w:t>
            </w:r>
          </w:p>
        </w:tc>
      </w:tr>
      <w:tr>
        <w:tc>
          <w:tcPr>
            <w:tcW w:type="dxa" w:w="4561"/>
            <w:vAlign w:val="center"/>
          </w:tcPr>
          <w:p>
            <w:pPr>
              <w:spacing w:line="240" w:lineRule="auto" w:after="0"/>
              <w:jc w:val="center"/>
            </w:pPr>
            <w:r>
              <w:rPr>
                <w:rFonts w:ascii="Times New Roman" w:hAnsi="Times New Roman" w:eastAsia="宋体"/>
                <w:color w:val="000000"/>
                <w:sz w:val="19"/>
              </w:rPr>
              <w:t>2021—2025新增册数</w:t>
            </w:r>
          </w:p>
        </w:tc>
        <w:tc>
          <w:tcPr>
            <w:tcW w:type="dxa" w:w="4561"/>
            <w:vAlign w:val="center"/>
          </w:tcPr>
          <w:p>
            <w:pPr>
              <w:spacing w:line="240" w:lineRule="auto" w:after="0"/>
              <w:jc w:val="center"/>
            </w:pPr>
            <w:r>
              <w:rPr>
                <w:rFonts w:ascii="Times New Roman" w:hAnsi="Times New Roman" w:eastAsia="宋体"/>
                <w:color w:val="000000"/>
                <w:sz w:val="19"/>
              </w:rPr>
              <w:t>7108.0</w:t>
            </w:r>
          </w:p>
        </w:tc>
      </w:tr>
      <w:tr>
        <w:tc>
          <w:tcPr>
            <w:tcW w:type="dxa" w:w="4561"/>
            <w:vAlign w:val="center"/>
          </w:tcPr>
          <w:p>
            <w:pPr>
              <w:spacing w:line="240" w:lineRule="auto" w:after="0"/>
              <w:jc w:val="center"/>
            </w:pPr>
            <w:r>
              <w:rPr>
                <w:rFonts w:ascii="Times New Roman" w:hAnsi="Times New Roman" w:eastAsia="宋体"/>
                <w:color w:val="000000"/>
                <w:sz w:val="19"/>
              </w:rPr>
              <w:t>2021—2025新增题名数</w:t>
            </w:r>
          </w:p>
        </w:tc>
        <w:tc>
          <w:tcPr>
            <w:tcW w:type="dxa" w:w="4561"/>
            <w:vAlign w:val="center"/>
          </w:tcPr>
          <w:p>
            <w:pPr>
              <w:spacing w:line="240" w:lineRule="auto" w:after="0"/>
              <w:jc w:val="center"/>
            </w:pPr>
            <w:r>
              <w:rPr>
                <w:rFonts w:ascii="Times New Roman" w:hAnsi="Times New Roman" w:eastAsia="宋体"/>
                <w:color w:val="000000"/>
                <w:sz w:val="19"/>
              </w:rPr>
              <w:t>2546.0</w:t>
            </w:r>
          </w:p>
        </w:tc>
      </w:tr>
      <w:tr>
        <w:tc>
          <w:tcPr>
            <w:tcW w:type="dxa" w:w="4561"/>
            <w:vAlign w:val="center"/>
          </w:tcPr>
          <w:p>
            <w:pPr>
              <w:spacing w:line="240" w:lineRule="auto" w:after="0"/>
              <w:jc w:val="center"/>
            </w:pPr>
            <w:r>
              <w:rPr>
                <w:rFonts w:ascii="Times New Roman" w:hAnsi="Times New Roman" w:eastAsia="宋体"/>
                <w:color w:val="000000"/>
                <w:sz w:val="19"/>
              </w:rPr>
              <w:t>占全馆同期新增比例%</w:t>
            </w:r>
          </w:p>
        </w:tc>
        <w:tc>
          <w:tcPr>
            <w:tcW w:type="dxa" w:w="4561"/>
            <w:vAlign w:val="center"/>
          </w:tcPr>
          <w:p>
            <w:pPr>
              <w:spacing w:line="240" w:lineRule="auto" w:after="0"/>
              <w:jc w:val="center"/>
            </w:pPr>
            <w:r>
              <w:rPr>
                <w:rFonts w:ascii="Times New Roman" w:hAnsi="Times New Roman" w:eastAsia="宋体"/>
                <w:color w:val="000000"/>
                <w:sz w:val="19"/>
              </w:rPr>
              <w:t>4.98</w:t>
            </w:r>
          </w:p>
        </w:tc>
      </w:tr>
      <w:tr>
        <w:tc>
          <w:tcPr>
            <w:tcW w:type="dxa" w:w="4561"/>
            <w:vAlign w:val="center"/>
          </w:tcPr>
          <w:p>
            <w:pPr>
              <w:spacing w:line="240" w:lineRule="auto" w:after="0"/>
              <w:jc w:val="center"/>
            </w:pPr>
            <w:r>
              <w:rPr>
                <w:rFonts w:ascii="Times New Roman" w:hAnsi="Times New Roman" w:eastAsia="宋体"/>
                <w:color w:val="000000"/>
                <w:sz w:val="19"/>
              </w:rPr>
              <w:t>特色馆藏均价</w:t>
            </w:r>
          </w:p>
        </w:tc>
        <w:tc>
          <w:tcPr>
            <w:tcW w:type="dxa" w:w="4561"/>
            <w:vAlign w:val="center"/>
          </w:tcPr>
          <w:p>
            <w:pPr>
              <w:spacing w:line="240" w:lineRule="auto" w:after="0"/>
              <w:jc w:val="center"/>
            </w:pPr>
            <w:r>
              <w:rPr>
                <w:rFonts w:ascii="Times New Roman" w:hAnsi="Times New Roman" w:eastAsia="宋体"/>
                <w:color w:val="000000"/>
                <w:sz w:val="19"/>
              </w:rPr>
              <w:t>165.9</w:t>
            </w:r>
          </w:p>
        </w:tc>
      </w:tr>
      <w:tr>
        <w:tc>
          <w:tcPr>
            <w:tcW w:type="dxa" w:w="4561"/>
            <w:vAlign w:val="center"/>
          </w:tcPr>
          <w:p>
            <w:pPr>
              <w:spacing w:line="240" w:lineRule="auto" w:after="0"/>
              <w:jc w:val="center"/>
            </w:pPr>
            <w:r>
              <w:rPr>
                <w:rFonts w:ascii="Times New Roman" w:hAnsi="Times New Roman" w:eastAsia="宋体"/>
                <w:color w:val="000000"/>
                <w:sz w:val="19"/>
              </w:rPr>
              <w:t>特色馆藏中位价</w:t>
            </w:r>
          </w:p>
        </w:tc>
        <w:tc>
          <w:tcPr>
            <w:tcW w:type="dxa" w:w="4561"/>
            <w:vAlign w:val="center"/>
          </w:tcPr>
          <w:p>
            <w:pPr>
              <w:spacing w:line="240" w:lineRule="auto" w:after="0"/>
              <w:jc w:val="center"/>
            </w:pPr>
            <w:r>
              <w:rPr>
                <w:rFonts w:ascii="Times New Roman" w:hAnsi="Times New Roman" w:eastAsia="宋体"/>
                <w:color w:val="000000"/>
                <w:sz w:val="19"/>
              </w:rPr>
              <w:t>70.0</w:t>
            </w:r>
          </w:p>
        </w:tc>
      </w:tr>
    </w:tbl>
    <w:p>
      <w:pPr>
        <w:spacing w:line="300" w:lineRule="auto" w:before="120" w:after="60"/>
        <w:jc w:val="left"/>
      </w:pPr>
      <w:r>
        <w:rPr>
          <w:rFonts w:ascii="Times New Roman" w:hAnsi="Times New Roman" w:eastAsia="黑体"/>
          <w:b/>
          <w:color w:val="000000"/>
          <w:sz w:val="24"/>
        </w:rPr>
        <w:t>3.2 年度变化：从扩充规模到价值深化</w:t>
      </w:r>
    </w:p>
    <w:p>
      <w:pPr>
        <w:spacing w:line="300" w:lineRule="auto" w:after="60"/>
        <w:ind w:firstLine="480"/>
        <w:jc w:val="both"/>
      </w:pPr>
      <w:r>
        <w:rPr>
          <w:rFonts w:ascii="Times New Roman" w:hAnsi="Times New Roman" w:eastAsia="宋体"/>
          <w:b w:val="0"/>
          <w:color w:val="000000"/>
          <w:sz w:val="24"/>
        </w:rPr>
        <w:t>从年度变化看，民族文献特色馆藏在2021—2025年新增册数分别为1919册、1504册、2247册、487册和951册。2023年达到五年峰值，说明这一时期民族文献资源建设投入较为集中；2024年显著收缩，2025年有所恢复但尚未回到2023年的高位。若进一步观察三处馆藏地的内部结构，可以发现2021年新增主要由民族文献借阅（947册）和民族文献阅览（728册）共同支撑，并伴随民大文库L102的244册补充；2022年民族文献阅览反超借阅区；2023年民族文献借阅与民族文献阅览双双保持高位；2024年新增量整体减少；2025年则更多由民族文献阅览区带动。</w:t>
      </w:r>
    </w:p>
    <w:p>
      <w:pPr>
        <w:spacing w:line="300" w:lineRule="auto" w:after="60"/>
        <w:ind w:firstLine="480"/>
        <w:jc w:val="both"/>
      </w:pPr>
      <w:r>
        <w:rPr>
          <w:rFonts w:ascii="Times New Roman" w:hAnsi="Times New Roman" w:eastAsia="宋体"/>
          <w:b w:val="0"/>
          <w:color w:val="000000"/>
          <w:sz w:val="24"/>
        </w:rPr>
        <w:t>这组变化说明，H大学民族文献资源建设并非简单稳定增长，而是存在阶段性侧重。较早阶段更像是在补充和扩展资源规模，后续则逐步转向围绕重点文献、专题文献和高价值文献进行更集中的配置。</w:t>
      </w:r>
    </w:p>
    <w:p>
      <w:pPr>
        <w:spacing w:line="300" w:lineRule="auto" w:after="60"/>
        <w:jc w:val="center"/>
      </w:pPr>
      <w:r>
        <w:rPr>
          <w:rFonts w:ascii="Times New Roman" w:hAnsi="Times New Roman" w:eastAsia="宋体"/>
          <w:b/>
          <w:color w:val="000000"/>
          <w:sz w:val="21"/>
        </w:rPr>
        <w:t>表3 民族文献特色馆藏年度变化</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pPr>
              <w:spacing w:line="240" w:lineRule="auto" w:after="0"/>
              <w:jc w:val="center"/>
            </w:pPr>
            <w:r>
              <w:rPr>
                <w:rFonts w:ascii="Times New Roman" w:hAnsi="Times New Roman" w:eastAsia="宋体"/>
                <w:color w:val="000000"/>
                <w:sz w:val="18"/>
              </w:rPr>
              <w:t>采购年</w:t>
            </w:r>
          </w:p>
        </w:tc>
        <w:tc>
          <w:tcPr>
            <w:tcW w:type="dxa" w:w="1520"/>
            <w:vAlign w:val="center"/>
          </w:tcPr>
          <w:p>
            <w:pPr>
              <w:spacing w:line="240" w:lineRule="auto" w:after="0"/>
              <w:jc w:val="center"/>
            </w:pPr>
            <w:r>
              <w:rPr>
                <w:rFonts w:ascii="Times New Roman" w:hAnsi="Times New Roman" w:eastAsia="宋体"/>
                <w:color w:val="000000"/>
                <w:sz w:val="18"/>
              </w:rPr>
              <w:t>新增册数</w:t>
            </w:r>
          </w:p>
        </w:tc>
        <w:tc>
          <w:tcPr>
            <w:tcW w:type="dxa" w:w="1520"/>
            <w:vAlign w:val="center"/>
          </w:tcPr>
          <w:p>
            <w:pPr>
              <w:spacing w:line="240" w:lineRule="auto" w:after="0"/>
              <w:jc w:val="center"/>
            </w:pPr>
            <w:r>
              <w:rPr>
                <w:rFonts w:ascii="Times New Roman" w:hAnsi="Times New Roman" w:eastAsia="宋体"/>
                <w:color w:val="000000"/>
                <w:sz w:val="18"/>
              </w:rPr>
              <w:t>题名数</w:t>
            </w:r>
          </w:p>
        </w:tc>
        <w:tc>
          <w:tcPr>
            <w:tcW w:type="dxa" w:w="1520"/>
            <w:vAlign w:val="center"/>
          </w:tcPr>
          <w:p>
            <w:pPr>
              <w:spacing w:line="240" w:lineRule="auto" w:after="0"/>
              <w:jc w:val="center"/>
            </w:pPr>
            <w:r>
              <w:rPr>
                <w:rFonts w:ascii="Times New Roman" w:hAnsi="Times New Roman" w:eastAsia="宋体"/>
                <w:color w:val="000000"/>
                <w:sz w:val="18"/>
              </w:rPr>
              <w:t>均价</w:t>
            </w:r>
          </w:p>
        </w:tc>
        <w:tc>
          <w:tcPr>
            <w:tcW w:type="dxa" w:w="1520"/>
            <w:vAlign w:val="center"/>
          </w:tcPr>
          <w:p>
            <w:pPr>
              <w:spacing w:line="240" w:lineRule="auto" w:after="0"/>
              <w:jc w:val="center"/>
            </w:pPr>
            <w:r>
              <w:rPr>
                <w:rFonts w:ascii="Times New Roman" w:hAnsi="Times New Roman" w:eastAsia="宋体"/>
                <w:color w:val="000000"/>
                <w:sz w:val="18"/>
              </w:rPr>
              <w:t>中位价</w:t>
            </w:r>
          </w:p>
        </w:tc>
        <w:tc>
          <w:tcPr>
            <w:tcW w:type="dxa" w:w="1520"/>
            <w:vAlign w:val="center"/>
          </w:tcPr>
          <w:p>
            <w:pPr>
              <w:spacing w:line="240" w:lineRule="auto" w:after="0"/>
              <w:jc w:val="center"/>
            </w:pPr>
            <w:r>
              <w:rPr>
                <w:rFonts w:ascii="Times New Roman" w:hAnsi="Times New Roman" w:eastAsia="宋体"/>
                <w:color w:val="000000"/>
                <w:sz w:val="18"/>
              </w:rPr>
              <w:t>占全馆新增比例%</w:t>
            </w:r>
          </w:p>
        </w:tc>
      </w:tr>
      <w:tr>
        <w:tc>
          <w:tcPr>
            <w:tcW w:type="dxa" w:w="1520"/>
            <w:vAlign w:val="center"/>
          </w:tcPr>
          <w:p>
            <w:pPr>
              <w:spacing w:line="240" w:lineRule="auto" w:after="0"/>
              <w:jc w:val="center"/>
            </w:pPr>
            <w:r>
              <w:rPr>
                <w:rFonts w:ascii="Times New Roman" w:hAnsi="Times New Roman" w:eastAsia="宋体"/>
                <w:color w:val="000000"/>
                <w:sz w:val="18"/>
              </w:rPr>
              <w:t>2021.0</w:t>
            </w:r>
          </w:p>
        </w:tc>
        <w:tc>
          <w:tcPr>
            <w:tcW w:type="dxa" w:w="1520"/>
            <w:vAlign w:val="center"/>
          </w:tcPr>
          <w:p>
            <w:pPr>
              <w:spacing w:line="240" w:lineRule="auto" w:after="0"/>
              <w:jc w:val="center"/>
            </w:pPr>
            <w:r>
              <w:rPr>
                <w:rFonts w:ascii="Times New Roman" w:hAnsi="Times New Roman" w:eastAsia="宋体"/>
                <w:color w:val="000000"/>
                <w:sz w:val="18"/>
              </w:rPr>
              <w:t>1919.0</w:t>
            </w:r>
          </w:p>
        </w:tc>
        <w:tc>
          <w:tcPr>
            <w:tcW w:type="dxa" w:w="1520"/>
            <w:vAlign w:val="center"/>
          </w:tcPr>
          <w:p>
            <w:pPr>
              <w:spacing w:line="240" w:lineRule="auto" w:after="0"/>
              <w:jc w:val="center"/>
            </w:pPr>
            <w:r>
              <w:rPr>
                <w:rFonts w:ascii="Times New Roman" w:hAnsi="Times New Roman" w:eastAsia="宋体"/>
                <w:color w:val="000000"/>
                <w:sz w:val="18"/>
              </w:rPr>
              <w:t>700.0</w:t>
            </w:r>
          </w:p>
        </w:tc>
        <w:tc>
          <w:tcPr>
            <w:tcW w:type="dxa" w:w="1520"/>
            <w:vAlign w:val="center"/>
          </w:tcPr>
          <w:p>
            <w:pPr>
              <w:spacing w:line="240" w:lineRule="auto" w:after="0"/>
              <w:jc w:val="center"/>
            </w:pPr>
            <w:r>
              <w:rPr>
                <w:rFonts w:ascii="Times New Roman" w:hAnsi="Times New Roman" w:eastAsia="宋体"/>
                <w:color w:val="000000"/>
                <w:sz w:val="18"/>
              </w:rPr>
              <w:t>105.67</w:t>
            </w:r>
          </w:p>
        </w:tc>
        <w:tc>
          <w:tcPr>
            <w:tcW w:type="dxa" w:w="1520"/>
            <w:vAlign w:val="center"/>
          </w:tcPr>
          <w:p>
            <w:pPr>
              <w:spacing w:line="240" w:lineRule="auto" w:after="0"/>
              <w:jc w:val="center"/>
            </w:pPr>
            <w:r>
              <w:rPr>
                <w:rFonts w:ascii="Times New Roman" w:hAnsi="Times New Roman" w:eastAsia="宋体"/>
                <w:color w:val="000000"/>
                <w:sz w:val="18"/>
              </w:rPr>
              <w:t>68.0</w:t>
            </w:r>
          </w:p>
        </w:tc>
        <w:tc>
          <w:tcPr>
            <w:tcW w:type="dxa" w:w="1520"/>
            <w:vAlign w:val="center"/>
          </w:tcPr>
          <w:p>
            <w:pPr>
              <w:spacing w:line="240" w:lineRule="auto" w:after="0"/>
              <w:jc w:val="center"/>
            </w:pPr>
            <w:r>
              <w:rPr>
                <w:rFonts w:ascii="Times New Roman" w:hAnsi="Times New Roman" w:eastAsia="宋体"/>
                <w:color w:val="000000"/>
                <w:sz w:val="18"/>
              </w:rPr>
              <w:t>5.77</w:t>
            </w:r>
          </w:p>
        </w:tc>
      </w:tr>
      <w:tr>
        <w:tc>
          <w:tcPr>
            <w:tcW w:type="dxa" w:w="1520"/>
            <w:vAlign w:val="center"/>
          </w:tcPr>
          <w:p>
            <w:pPr>
              <w:spacing w:line="240" w:lineRule="auto" w:after="0"/>
              <w:jc w:val="center"/>
            </w:pPr>
            <w:r>
              <w:rPr>
                <w:rFonts w:ascii="Times New Roman" w:hAnsi="Times New Roman" w:eastAsia="宋体"/>
                <w:color w:val="000000"/>
                <w:sz w:val="18"/>
              </w:rPr>
              <w:t>2022.0</w:t>
            </w:r>
          </w:p>
        </w:tc>
        <w:tc>
          <w:tcPr>
            <w:tcW w:type="dxa" w:w="1520"/>
            <w:vAlign w:val="center"/>
          </w:tcPr>
          <w:p>
            <w:pPr>
              <w:spacing w:line="240" w:lineRule="auto" w:after="0"/>
              <w:jc w:val="center"/>
            </w:pPr>
            <w:r>
              <w:rPr>
                <w:rFonts w:ascii="Times New Roman" w:hAnsi="Times New Roman" w:eastAsia="宋体"/>
                <w:color w:val="000000"/>
                <w:sz w:val="18"/>
              </w:rPr>
              <w:t>1504.0</w:t>
            </w:r>
          </w:p>
        </w:tc>
        <w:tc>
          <w:tcPr>
            <w:tcW w:type="dxa" w:w="1520"/>
            <w:vAlign w:val="center"/>
          </w:tcPr>
          <w:p>
            <w:pPr>
              <w:spacing w:line="240" w:lineRule="auto" w:after="0"/>
              <w:jc w:val="center"/>
            </w:pPr>
            <w:r>
              <w:rPr>
                <w:rFonts w:ascii="Times New Roman" w:hAnsi="Times New Roman" w:eastAsia="宋体"/>
                <w:color w:val="000000"/>
                <w:sz w:val="18"/>
              </w:rPr>
              <w:t>474.0</w:t>
            </w:r>
          </w:p>
        </w:tc>
        <w:tc>
          <w:tcPr>
            <w:tcW w:type="dxa" w:w="1520"/>
            <w:vAlign w:val="center"/>
          </w:tcPr>
          <w:p>
            <w:pPr>
              <w:spacing w:line="240" w:lineRule="auto" w:after="0"/>
              <w:jc w:val="center"/>
            </w:pPr>
            <w:r>
              <w:rPr>
                <w:rFonts w:ascii="Times New Roman" w:hAnsi="Times New Roman" w:eastAsia="宋体"/>
                <w:color w:val="000000"/>
                <w:sz w:val="18"/>
              </w:rPr>
              <w:t>271.49</w:t>
            </w:r>
          </w:p>
        </w:tc>
        <w:tc>
          <w:tcPr>
            <w:tcW w:type="dxa" w:w="1520"/>
            <w:vAlign w:val="center"/>
          </w:tcPr>
          <w:p>
            <w:pPr>
              <w:spacing w:line="240" w:lineRule="auto" w:after="0"/>
              <w:jc w:val="center"/>
            </w:pPr>
            <w:r>
              <w:rPr>
                <w:rFonts w:ascii="Times New Roman" w:hAnsi="Times New Roman" w:eastAsia="宋体"/>
                <w:color w:val="000000"/>
                <w:sz w:val="18"/>
              </w:rPr>
              <w:t>98.0</w:t>
            </w:r>
          </w:p>
        </w:tc>
        <w:tc>
          <w:tcPr>
            <w:tcW w:type="dxa" w:w="1520"/>
            <w:vAlign w:val="center"/>
          </w:tcPr>
          <w:p>
            <w:pPr>
              <w:spacing w:line="240" w:lineRule="auto" w:after="0"/>
              <w:jc w:val="center"/>
            </w:pPr>
            <w:r>
              <w:rPr>
                <w:rFonts w:ascii="Times New Roman" w:hAnsi="Times New Roman" w:eastAsia="宋体"/>
                <w:color w:val="000000"/>
                <w:sz w:val="18"/>
              </w:rPr>
              <w:t>5.87</w:t>
            </w:r>
          </w:p>
        </w:tc>
      </w:tr>
      <w:tr>
        <w:tc>
          <w:tcPr>
            <w:tcW w:type="dxa" w:w="1520"/>
            <w:vAlign w:val="center"/>
          </w:tcPr>
          <w:p>
            <w:pPr>
              <w:spacing w:line="240" w:lineRule="auto" w:after="0"/>
              <w:jc w:val="center"/>
            </w:pPr>
            <w:r>
              <w:rPr>
                <w:rFonts w:ascii="Times New Roman" w:hAnsi="Times New Roman" w:eastAsia="宋体"/>
                <w:color w:val="000000"/>
                <w:sz w:val="18"/>
              </w:rPr>
              <w:t>2023.0</w:t>
            </w:r>
          </w:p>
        </w:tc>
        <w:tc>
          <w:tcPr>
            <w:tcW w:type="dxa" w:w="1520"/>
            <w:vAlign w:val="center"/>
          </w:tcPr>
          <w:p>
            <w:pPr>
              <w:spacing w:line="240" w:lineRule="auto" w:after="0"/>
              <w:jc w:val="center"/>
            </w:pPr>
            <w:r>
              <w:rPr>
                <w:rFonts w:ascii="Times New Roman" w:hAnsi="Times New Roman" w:eastAsia="宋体"/>
                <w:color w:val="000000"/>
                <w:sz w:val="18"/>
              </w:rPr>
              <w:t>2247.0</w:t>
            </w:r>
          </w:p>
        </w:tc>
        <w:tc>
          <w:tcPr>
            <w:tcW w:type="dxa" w:w="1520"/>
            <w:vAlign w:val="center"/>
          </w:tcPr>
          <w:p>
            <w:pPr>
              <w:spacing w:line="240" w:lineRule="auto" w:after="0"/>
              <w:jc w:val="center"/>
            </w:pPr>
            <w:r>
              <w:rPr>
                <w:rFonts w:ascii="Times New Roman" w:hAnsi="Times New Roman" w:eastAsia="宋体"/>
                <w:color w:val="000000"/>
                <w:sz w:val="18"/>
              </w:rPr>
              <w:t>861.0</w:t>
            </w:r>
          </w:p>
        </w:tc>
        <w:tc>
          <w:tcPr>
            <w:tcW w:type="dxa" w:w="1520"/>
            <w:vAlign w:val="center"/>
          </w:tcPr>
          <w:p>
            <w:pPr>
              <w:spacing w:line="240" w:lineRule="auto" w:after="0"/>
              <w:jc w:val="center"/>
            </w:pPr>
            <w:r>
              <w:rPr>
                <w:rFonts w:ascii="Times New Roman" w:hAnsi="Times New Roman" w:eastAsia="宋体"/>
                <w:color w:val="000000"/>
                <w:sz w:val="18"/>
              </w:rPr>
              <w:t>95.94</w:t>
            </w:r>
          </w:p>
        </w:tc>
        <w:tc>
          <w:tcPr>
            <w:tcW w:type="dxa" w:w="1520"/>
            <w:vAlign w:val="center"/>
          </w:tcPr>
          <w:p>
            <w:pPr>
              <w:spacing w:line="240" w:lineRule="auto" w:after="0"/>
              <w:jc w:val="center"/>
            </w:pPr>
            <w:r>
              <w:rPr>
                <w:rFonts w:ascii="Times New Roman" w:hAnsi="Times New Roman" w:eastAsia="宋体"/>
                <w:color w:val="000000"/>
                <w:sz w:val="18"/>
              </w:rPr>
              <w:t>78.0</w:t>
            </w:r>
          </w:p>
        </w:tc>
        <w:tc>
          <w:tcPr>
            <w:tcW w:type="dxa" w:w="1520"/>
            <w:vAlign w:val="center"/>
          </w:tcPr>
          <w:p>
            <w:pPr>
              <w:spacing w:line="240" w:lineRule="auto" w:after="0"/>
              <w:jc w:val="center"/>
            </w:pPr>
            <w:r>
              <w:rPr>
                <w:rFonts w:ascii="Times New Roman" w:hAnsi="Times New Roman" w:eastAsia="宋体"/>
                <w:color w:val="000000"/>
                <w:sz w:val="18"/>
              </w:rPr>
              <w:t>8.17</w:t>
            </w:r>
          </w:p>
        </w:tc>
      </w:tr>
      <w:tr>
        <w:tc>
          <w:tcPr>
            <w:tcW w:type="dxa" w:w="1520"/>
            <w:vAlign w:val="center"/>
          </w:tcPr>
          <w:p>
            <w:pPr>
              <w:spacing w:line="240" w:lineRule="auto" w:after="0"/>
              <w:jc w:val="center"/>
            </w:pPr>
            <w:r>
              <w:rPr>
                <w:rFonts w:ascii="Times New Roman" w:hAnsi="Times New Roman" w:eastAsia="宋体"/>
                <w:color w:val="000000"/>
                <w:sz w:val="18"/>
              </w:rPr>
              <w:t>2024.0</w:t>
            </w:r>
          </w:p>
        </w:tc>
        <w:tc>
          <w:tcPr>
            <w:tcW w:type="dxa" w:w="1520"/>
            <w:vAlign w:val="center"/>
          </w:tcPr>
          <w:p>
            <w:pPr>
              <w:spacing w:line="240" w:lineRule="auto" w:after="0"/>
              <w:jc w:val="center"/>
            </w:pPr>
            <w:r>
              <w:rPr>
                <w:rFonts w:ascii="Times New Roman" w:hAnsi="Times New Roman" w:eastAsia="宋体"/>
                <w:color w:val="000000"/>
                <w:sz w:val="18"/>
              </w:rPr>
              <w:t>487.0</w:t>
            </w:r>
          </w:p>
        </w:tc>
        <w:tc>
          <w:tcPr>
            <w:tcW w:type="dxa" w:w="1520"/>
            <w:vAlign w:val="center"/>
          </w:tcPr>
          <w:p>
            <w:pPr>
              <w:spacing w:line="240" w:lineRule="auto" w:after="0"/>
              <w:jc w:val="center"/>
            </w:pPr>
            <w:r>
              <w:rPr>
                <w:rFonts w:ascii="Times New Roman" w:hAnsi="Times New Roman" w:eastAsia="宋体"/>
                <w:color w:val="000000"/>
                <w:sz w:val="18"/>
              </w:rPr>
              <w:t>204.0</w:t>
            </w:r>
          </w:p>
        </w:tc>
        <w:tc>
          <w:tcPr>
            <w:tcW w:type="dxa" w:w="1520"/>
            <w:vAlign w:val="center"/>
          </w:tcPr>
          <w:p>
            <w:pPr>
              <w:spacing w:line="240" w:lineRule="auto" w:after="0"/>
              <w:jc w:val="center"/>
            </w:pPr>
            <w:r>
              <w:rPr>
                <w:rFonts w:ascii="Times New Roman" w:hAnsi="Times New Roman" w:eastAsia="宋体"/>
                <w:color w:val="000000"/>
                <w:sz w:val="18"/>
              </w:rPr>
              <w:t>134.39</w:t>
            </w:r>
          </w:p>
        </w:tc>
        <w:tc>
          <w:tcPr>
            <w:tcW w:type="dxa" w:w="1520"/>
            <w:vAlign w:val="center"/>
          </w:tcPr>
          <w:p>
            <w:pPr>
              <w:spacing w:line="240" w:lineRule="auto" w:after="0"/>
              <w:jc w:val="center"/>
            </w:pPr>
            <w:r>
              <w:rPr>
                <w:rFonts w:ascii="Times New Roman" w:hAnsi="Times New Roman" w:eastAsia="宋体"/>
                <w:color w:val="000000"/>
                <w:sz w:val="18"/>
              </w:rPr>
              <w:t>87.0</w:t>
            </w:r>
          </w:p>
        </w:tc>
        <w:tc>
          <w:tcPr>
            <w:tcW w:type="dxa" w:w="1520"/>
            <w:vAlign w:val="center"/>
          </w:tcPr>
          <w:p>
            <w:pPr>
              <w:spacing w:line="240" w:lineRule="auto" w:after="0"/>
              <w:jc w:val="center"/>
            </w:pPr>
            <w:r>
              <w:rPr>
                <w:rFonts w:ascii="Times New Roman" w:hAnsi="Times New Roman" w:eastAsia="宋体"/>
                <w:color w:val="000000"/>
                <w:sz w:val="18"/>
              </w:rPr>
              <w:t>1.84</w:t>
            </w:r>
          </w:p>
        </w:tc>
      </w:tr>
      <w:tr>
        <w:tc>
          <w:tcPr>
            <w:tcW w:type="dxa" w:w="1520"/>
            <w:vAlign w:val="center"/>
          </w:tcPr>
          <w:p>
            <w:pPr>
              <w:spacing w:line="240" w:lineRule="auto" w:after="0"/>
              <w:jc w:val="center"/>
            </w:pPr>
            <w:r>
              <w:rPr>
                <w:rFonts w:ascii="Times New Roman" w:hAnsi="Times New Roman" w:eastAsia="宋体"/>
                <w:color w:val="000000"/>
                <w:sz w:val="18"/>
              </w:rPr>
              <w:t>2025.0</w:t>
            </w:r>
          </w:p>
        </w:tc>
        <w:tc>
          <w:tcPr>
            <w:tcW w:type="dxa" w:w="1520"/>
            <w:vAlign w:val="center"/>
          </w:tcPr>
          <w:p>
            <w:pPr>
              <w:spacing w:line="240" w:lineRule="auto" w:after="0"/>
              <w:jc w:val="center"/>
            </w:pPr>
            <w:r>
              <w:rPr>
                <w:rFonts w:ascii="Times New Roman" w:hAnsi="Times New Roman" w:eastAsia="宋体"/>
                <w:color w:val="000000"/>
                <w:sz w:val="18"/>
              </w:rPr>
              <w:t>951.0</w:t>
            </w:r>
          </w:p>
        </w:tc>
        <w:tc>
          <w:tcPr>
            <w:tcW w:type="dxa" w:w="1520"/>
            <w:vAlign w:val="center"/>
          </w:tcPr>
          <w:p>
            <w:pPr>
              <w:spacing w:line="240" w:lineRule="auto" w:after="0"/>
              <w:jc w:val="center"/>
            </w:pPr>
            <w:r>
              <w:rPr>
                <w:rFonts w:ascii="Times New Roman" w:hAnsi="Times New Roman" w:eastAsia="宋体"/>
                <w:color w:val="000000"/>
                <w:sz w:val="18"/>
              </w:rPr>
              <w:t>327.0</w:t>
            </w:r>
          </w:p>
        </w:tc>
        <w:tc>
          <w:tcPr>
            <w:tcW w:type="dxa" w:w="1520"/>
            <w:vAlign w:val="center"/>
          </w:tcPr>
          <w:p>
            <w:pPr>
              <w:spacing w:line="240" w:lineRule="auto" w:after="0"/>
              <w:jc w:val="center"/>
            </w:pPr>
            <w:r>
              <w:rPr>
                <w:rFonts w:ascii="Times New Roman" w:hAnsi="Times New Roman" w:eastAsia="宋体"/>
                <w:color w:val="000000"/>
                <w:sz w:val="18"/>
              </w:rPr>
              <w:t>222.1</w:t>
            </w:r>
          </w:p>
        </w:tc>
        <w:tc>
          <w:tcPr>
            <w:tcW w:type="dxa" w:w="1520"/>
            <w:vAlign w:val="center"/>
          </w:tcPr>
          <w:p>
            <w:pPr>
              <w:spacing w:line="240" w:lineRule="auto" w:after="0"/>
              <w:jc w:val="center"/>
            </w:pPr>
            <w:r>
              <w:rPr>
                <w:rFonts w:ascii="Times New Roman" w:hAnsi="Times New Roman" w:eastAsia="宋体"/>
                <w:color w:val="000000"/>
                <w:sz w:val="18"/>
              </w:rPr>
              <w:t>96.0</w:t>
            </w:r>
          </w:p>
        </w:tc>
        <w:tc>
          <w:tcPr>
            <w:tcW w:type="dxa" w:w="1520"/>
            <w:vAlign w:val="center"/>
          </w:tcPr>
          <w:p>
            <w:pPr>
              <w:spacing w:line="240" w:lineRule="auto" w:after="0"/>
              <w:jc w:val="center"/>
            </w:pPr>
            <w:r>
              <w:rPr>
                <w:rFonts w:ascii="Times New Roman" w:hAnsi="Times New Roman" w:eastAsia="宋体"/>
                <w:color w:val="000000"/>
                <w:sz w:val="18"/>
              </w:rPr>
              <w:t>3.17</w:t>
            </w:r>
          </w:p>
        </w:tc>
      </w:tr>
    </w:tbl>
    <w:p>
      <w:pPr>
        <w:spacing w:line="300" w:lineRule="auto" w:after="60"/>
        <w:jc w:val="center"/>
      </w:pPr>
      <w:r>
        <w:rPr>
          <w:rFonts w:ascii="Times New Roman" w:hAnsi="Times New Roman" w:eastAsia="宋体"/>
          <w:b/>
          <w:color w:val="000000"/>
          <w:sz w:val="21"/>
        </w:rPr>
        <w:t>表4 民族文献特色馆藏年度馆藏地分布</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line="240" w:lineRule="auto" w:after="0"/>
              <w:jc w:val="center"/>
            </w:pPr>
            <w:r>
              <w:rPr>
                <w:rFonts w:ascii="Times New Roman" w:hAnsi="Times New Roman" w:eastAsia="宋体"/>
                <w:color w:val="000000"/>
                <w:sz w:val="18"/>
              </w:rPr>
              <w:t>采购年</w:t>
            </w:r>
          </w:p>
        </w:tc>
        <w:tc>
          <w:tcPr>
            <w:tcW w:type="dxa" w:w="2280"/>
            <w:vAlign w:val="center"/>
          </w:tcPr>
          <w:p>
            <w:pPr>
              <w:spacing w:line="240" w:lineRule="auto" w:after="0"/>
              <w:jc w:val="center"/>
            </w:pPr>
            <w:r>
              <w:rPr>
                <w:rFonts w:ascii="Times New Roman" w:hAnsi="Times New Roman" w:eastAsia="宋体"/>
                <w:color w:val="000000"/>
                <w:sz w:val="18"/>
              </w:rPr>
              <w:t>民大文库L102</w:t>
            </w:r>
          </w:p>
        </w:tc>
        <w:tc>
          <w:tcPr>
            <w:tcW w:type="dxa" w:w="2280"/>
            <w:vAlign w:val="center"/>
          </w:tcPr>
          <w:p>
            <w:pPr>
              <w:spacing w:line="240" w:lineRule="auto" w:after="0"/>
              <w:jc w:val="center"/>
            </w:pPr>
            <w:r>
              <w:rPr>
                <w:rFonts w:ascii="Times New Roman" w:hAnsi="Times New Roman" w:eastAsia="宋体"/>
                <w:color w:val="000000"/>
                <w:sz w:val="18"/>
              </w:rPr>
              <w:t>民族文献借阅（L203）</w:t>
            </w:r>
          </w:p>
        </w:tc>
        <w:tc>
          <w:tcPr>
            <w:tcW w:type="dxa" w:w="2280"/>
            <w:vAlign w:val="center"/>
          </w:tcPr>
          <w:p>
            <w:pPr>
              <w:spacing w:line="240" w:lineRule="auto" w:after="0"/>
              <w:jc w:val="center"/>
            </w:pPr>
            <w:r>
              <w:rPr>
                <w:rFonts w:ascii="Times New Roman" w:hAnsi="Times New Roman" w:eastAsia="宋体"/>
                <w:color w:val="000000"/>
                <w:sz w:val="18"/>
              </w:rPr>
              <w:t>民族文献阅览（L201）</w:t>
            </w:r>
          </w:p>
        </w:tc>
      </w:tr>
      <w:tr>
        <w:tc>
          <w:tcPr>
            <w:tcW w:type="dxa" w:w="2280"/>
            <w:vAlign w:val="center"/>
          </w:tcPr>
          <w:p>
            <w:pPr>
              <w:spacing w:line="240" w:lineRule="auto" w:after="0"/>
              <w:jc w:val="center"/>
            </w:pPr>
            <w:r>
              <w:rPr>
                <w:rFonts w:ascii="Times New Roman" w:hAnsi="Times New Roman" w:eastAsia="宋体"/>
                <w:color w:val="000000"/>
                <w:sz w:val="18"/>
              </w:rPr>
              <w:t>2021.0</w:t>
            </w:r>
          </w:p>
        </w:tc>
        <w:tc>
          <w:tcPr>
            <w:tcW w:type="dxa" w:w="2280"/>
            <w:vAlign w:val="center"/>
          </w:tcPr>
          <w:p>
            <w:pPr>
              <w:spacing w:line="240" w:lineRule="auto" w:after="0"/>
              <w:jc w:val="center"/>
            </w:pPr>
            <w:r>
              <w:rPr>
                <w:rFonts w:ascii="Times New Roman" w:hAnsi="Times New Roman" w:eastAsia="宋体"/>
                <w:color w:val="000000"/>
                <w:sz w:val="18"/>
              </w:rPr>
              <w:t>244.0</w:t>
            </w:r>
          </w:p>
        </w:tc>
        <w:tc>
          <w:tcPr>
            <w:tcW w:type="dxa" w:w="2280"/>
            <w:vAlign w:val="center"/>
          </w:tcPr>
          <w:p>
            <w:pPr>
              <w:spacing w:line="240" w:lineRule="auto" w:after="0"/>
              <w:jc w:val="center"/>
            </w:pPr>
            <w:r>
              <w:rPr>
                <w:rFonts w:ascii="Times New Roman" w:hAnsi="Times New Roman" w:eastAsia="宋体"/>
                <w:color w:val="000000"/>
                <w:sz w:val="18"/>
              </w:rPr>
              <w:t>947.0</w:t>
            </w:r>
          </w:p>
        </w:tc>
        <w:tc>
          <w:tcPr>
            <w:tcW w:type="dxa" w:w="2280"/>
            <w:vAlign w:val="center"/>
          </w:tcPr>
          <w:p>
            <w:pPr>
              <w:spacing w:line="240" w:lineRule="auto" w:after="0"/>
              <w:jc w:val="center"/>
            </w:pPr>
            <w:r>
              <w:rPr>
                <w:rFonts w:ascii="Times New Roman" w:hAnsi="Times New Roman" w:eastAsia="宋体"/>
                <w:color w:val="000000"/>
                <w:sz w:val="18"/>
              </w:rPr>
              <w:t>728.0</w:t>
            </w:r>
          </w:p>
        </w:tc>
      </w:tr>
      <w:tr>
        <w:tc>
          <w:tcPr>
            <w:tcW w:type="dxa" w:w="2280"/>
            <w:vAlign w:val="center"/>
          </w:tcPr>
          <w:p>
            <w:pPr>
              <w:spacing w:line="240" w:lineRule="auto" w:after="0"/>
              <w:jc w:val="center"/>
            </w:pPr>
            <w:r>
              <w:rPr>
                <w:rFonts w:ascii="Times New Roman" w:hAnsi="Times New Roman" w:eastAsia="宋体"/>
                <w:color w:val="000000"/>
                <w:sz w:val="18"/>
              </w:rPr>
              <w:t>2022.0</w:t>
            </w:r>
          </w:p>
        </w:tc>
        <w:tc>
          <w:tcPr>
            <w:tcW w:type="dxa" w:w="2280"/>
            <w:vAlign w:val="center"/>
          </w:tcPr>
          <w:p>
            <w:pPr>
              <w:spacing w:line="240" w:lineRule="auto" w:after="0"/>
              <w:jc w:val="center"/>
            </w:pPr>
            <w:r>
              <w:rPr>
                <w:rFonts w:ascii="Times New Roman" w:hAnsi="Times New Roman" w:eastAsia="宋体"/>
                <w:color w:val="000000"/>
                <w:sz w:val="18"/>
              </w:rPr>
              <w:t>22.0</w:t>
            </w:r>
          </w:p>
        </w:tc>
        <w:tc>
          <w:tcPr>
            <w:tcW w:type="dxa" w:w="2280"/>
            <w:vAlign w:val="center"/>
          </w:tcPr>
          <w:p>
            <w:pPr>
              <w:spacing w:line="240" w:lineRule="auto" w:after="0"/>
              <w:jc w:val="center"/>
            </w:pPr>
            <w:r>
              <w:rPr>
                <w:rFonts w:ascii="Times New Roman" w:hAnsi="Times New Roman" w:eastAsia="宋体"/>
                <w:color w:val="000000"/>
                <w:sz w:val="18"/>
              </w:rPr>
              <w:t>557.0</w:t>
            </w:r>
          </w:p>
        </w:tc>
        <w:tc>
          <w:tcPr>
            <w:tcW w:type="dxa" w:w="2280"/>
            <w:vAlign w:val="center"/>
          </w:tcPr>
          <w:p>
            <w:pPr>
              <w:spacing w:line="240" w:lineRule="auto" w:after="0"/>
              <w:jc w:val="center"/>
            </w:pPr>
            <w:r>
              <w:rPr>
                <w:rFonts w:ascii="Times New Roman" w:hAnsi="Times New Roman" w:eastAsia="宋体"/>
                <w:color w:val="000000"/>
                <w:sz w:val="18"/>
              </w:rPr>
              <w:t>925.0</w:t>
            </w:r>
          </w:p>
        </w:tc>
      </w:tr>
      <w:tr>
        <w:tc>
          <w:tcPr>
            <w:tcW w:type="dxa" w:w="2280"/>
            <w:vAlign w:val="center"/>
          </w:tcPr>
          <w:p>
            <w:pPr>
              <w:spacing w:line="240" w:lineRule="auto" w:after="0"/>
              <w:jc w:val="center"/>
            </w:pPr>
            <w:r>
              <w:rPr>
                <w:rFonts w:ascii="Times New Roman" w:hAnsi="Times New Roman" w:eastAsia="宋体"/>
                <w:color w:val="000000"/>
                <w:sz w:val="18"/>
              </w:rPr>
              <w:t>2023.0</w:t>
            </w:r>
          </w:p>
        </w:tc>
        <w:tc>
          <w:tcPr>
            <w:tcW w:type="dxa" w:w="2280"/>
            <w:vAlign w:val="center"/>
          </w:tcPr>
          <w:p>
            <w:pPr>
              <w:spacing w:line="240" w:lineRule="auto" w:after="0"/>
              <w:jc w:val="center"/>
            </w:pPr>
            <w:r>
              <w:rPr>
                <w:rFonts w:ascii="Times New Roman" w:hAnsi="Times New Roman" w:eastAsia="宋体"/>
                <w:color w:val="000000"/>
                <w:sz w:val="18"/>
              </w:rPr>
              <w:t>0.0</w:t>
            </w:r>
          </w:p>
        </w:tc>
        <w:tc>
          <w:tcPr>
            <w:tcW w:type="dxa" w:w="2280"/>
            <w:vAlign w:val="center"/>
          </w:tcPr>
          <w:p>
            <w:pPr>
              <w:spacing w:line="240" w:lineRule="auto" w:after="0"/>
              <w:jc w:val="center"/>
            </w:pPr>
            <w:r>
              <w:rPr>
                <w:rFonts w:ascii="Times New Roman" w:hAnsi="Times New Roman" w:eastAsia="宋体"/>
                <w:color w:val="000000"/>
                <w:sz w:val="18"/>
              </w:rPr>
              <w:t>1287.0</w:t>
            </w:r>
          </w:p>
        </w:tc>
        <w:tc>
          <w:tcPr>
            <w:tcW w:type="dxa" w:w="2280"/>
            <w:vAlign w:val="center"/>
          </w:tcPr>
          <w:p>
            <w:pPr>
              <w:spacing w:line="240" w:lineRule="auto" w:after="0"/>
              <w:jc w:val="center"/>
            </w:pPr>
            <w:r>
              <w:rPr>
                <w:rFonts w:ascii="Times New Roman" w:hAnsi="Times New Roman" w:eastAsia="宋体"/>
                <w:color w:val="000000"/>
                <w:sz w:val="18"/>
              </w:rPr>
              <w:t>960.0</w:t>
            </w:r>
          </w:p>
        </w:tc>
      </w:tr>
      <w:tr>
        <w:tc>
          <w:tcPr>
            <w:tcW w:type="dxa" w:w="2280"/>
            <w:vAlign w:val="center"/>
          </w:tcPr>
          <w:p>
            <w:pPr>
              <w:spacing w:line="240" w:lineRule="auto" w:after="0"/>
              <w:jc w:val="center"/>
            </w:pPr>
            <w:r>
              <w:rPr>
                <w:rFonts w:ascii="Times New Roman" w:hAnsi="Times New Roman" w:eastAsia="宋体"/>
                <w:color w:val="000000"/>
                <w:sz w:val="18"/>
              </w:rPr>
              <w:t>2024.0</w:t>
            </w:r>
          </w:p>
        </w:tc>
        <w:tc>
          <w:tcPr>
            <w:tcW w:type="dxa" w:w="2280"/>
            <w:vAlign w:val="center"/>
          </w:tcPr>
          <w:p>
            <w:pPr>
              <w:spacing w:line="240" w:lineRule="auto" w:after="0"/>
              <w:jc w:val="center"/>
            </w:pPr>
            <w:r>
              <w:rPr>
                <w:rFonts w:ascii="Times New Roman" w:hAnsi="Times New Roman" w:eastAsia="宋体"/>
                <w:color w:val="000000"/>
                <w:sz w:val="18"/>
              </w:rPr>
              <w:t>0.0</w:t>
            </w:r>
          </w:p>
        </w:tc>
        <w:tc>
          <w:tcPr>
            <w:tcW w:type="dxa" w:w="2280"/>
            <w:vAlign w:val="center"/>
          </w:tcPr>
          <w:p>
            <w:pPr>
              <w:spacing w:line="240" w:lineRule="auto" w:after="0"/>
              <w:jc w:val="center"/>
            </w:pPr>
            <w:r>
              <w:rPr>
                <w:rFonts w:ascii="Times New Roman" w:hAnsi="Times New Roman" w:eastAsia="宋体"/>
                <w:color w:val="000000"/>
                <w:sz w:val="18"/>
              </w:rPr>
              <w:t>247.0</w:t>
            </w:r>
          </w:p>
        </w:tc>
        <w:tc>
          <w:tcPr>
            <w:tcW w:type="dxa" w:w="2280"/>
            <w:vAlign w:val="center"/>
          </w:tcPr>
          <w:p>
            <w:pPr>
              <w:spacing w:line="240" w:lineRule="auto" w:after="0"/>
              <w:jc w:val="center"/>
            </w:pPr>
            <w:r>
              <w:rPr>
                <w:rFonts w:ascii="Times New Roman" w:hAnsi="Times New Roman" w:eastAsia="宋体"/>
                <w:color w:val="000000"/>
                <w:sz w:val="18"/>
              </w:rPr>
              <w:t>240.0</w:t>
            </w:r>
          </w:p>
        </w:tc>
      </w:tr>
      <w:tr>
        <w:tc>
          <w:tcPr>
            <w:tcW w:type="dxa" w:w="2280"/>
            <w:vAlign w:val="center"/>
          </w:tcPr>
          <w:p>
            <w:pPr>
              <w:spacing w:line="240" w:lineRule="auto" w:after="0"/>
              <w:jc w:val="center"/>
            </w:pPr>
            <w:r>
              <w:rPr>
                <w:rFonts w:ascii="Times New Roman" w:hAnsi="Times New Roman" w:eastAsia="宋体"/>
                <w:color w:val="000000"/>
                <w:sz w:val="18"/>
              </w:rPr>
              <w:t>2025.0</w:t>
            </w:r>
          </w:p>
        </w:tc>
        <w:tc>
          <w:tcPr>
            <w:tcW w:type="dxa" w:w="2280"/>
            <w:vAlign w:val="center"/>
          </w:tcPr>
          <w:p>
            <w:pPr>
              <w:spacing w:line="240" w:lineRule="auto" w:after="0"/>
              <w:jc w:val="center"/>
            </w:pPr>
            <w:r>
              <w:rPr>
                <w:rFonts w:ascii="Times New Roman" w:hAnsi="Times New Roman" w:eastAsia="宋体"/>
                <w:color w:val="000000"/>
                <w:sz w:val="18"/>
              </w:rPr>
              <w:t>2.0</w:t>
            </w:r>
          </w:p>
        </w:tc>
        <w:tc>
          <w:tcPr>
            <w:tcW w:type="dxa" w:w="2280"/>
            <w:vAlign w:val="center"/>
          </w:tcPr>
          <w:p>
            <w:pPr>
              <w:spacing w:line="240" w:lineRule="auto" w:after="0"/>
              <w:jc w:val="center"/>
            </w:pPr>
            <w:r>
              <w:rPr>
                <w:rFonts w:ascii="Times New Roman" w:hAnsi="Times New Roman" w:eastAsia="宋体"/>
                <w:color w:val="000000"/>
                <w:sz w:val="18"/>
              </w:rPr>
              <w:t>412.0</w:t>
            </w:r>
          </w:p>
        </w:tc>
        <w:tc>
          <w:tcPr>
            <w:tcW w:type="dxa" w:w="2280"/>
            <w:vAlign w:val="center"/>
          </w:tcPr>
          <w:p>
            <w:pPr>
              <w:spacing w:line="240" w:lineRule="auto" w:after="0"/>
              <w:jc w:val="center"/>
            </w:pPr>
            <w:r>
              <w:rPr>
                <w:rFonts w:ascii="Times New Roman" w:hAnsi="Times New Roman" w:eastAsia="宋体"/>
                <w:color w:val="000000"/>
                <w:sz w:val="18"/>
              </w:rPr>
              <w:t>537.0</w:t>
            </w:r>
          </w:p>
        </w:tc>
      </w:tr>
    </w:tbl>
    <w:p>
      <w:pPr>
        <w:spacing w:line="300" w:lineRule="auto" w:before="120" w:after="60"/>
        <w:jc w:val="left"/>
      </w:pPr>
      <w:r>
        <w:rPr>
          <w:rFonts w:ascii="Times New Roman" w:hAnsi="Times New Roman" w:eastAsia="黑体"/>
          <w:b/>
          <w:color w:val="000000"/>
          <w:sz w:val="24"/>
        </w:rPr>
        <w:t>3.3 学科结构：以历史地理为核心，兼顾文学、艺术与综合文献</w:t>
      </w:r>
    </w:p>
    <w:p>
      <w:pPr>
        <w:spacing w:line="300" w:lineRule="auto" w:after="60"/>
        <w:ind w:firstLine="480"/>
        <w:jc w:val="both"/>
      </w:pPr>
      <w:r>
        <w:rPr>
          <w:rFonts w:ascii="Times New Roman" w:hAnsi="Times New Roman" w:eastAsia="宋体"/>
          <w:b w:val="0"/>
          <w:color w:val="000000"/>
          <w:sz w:val="24"/>
        </w:rPr>
        <w:t>按中图法一级类对民族文献特色馆藏进行分类后，可以更清楚地看到其学科重心。K类历史地理共有2332册，占比32.81%，是绝对核心；I类文学1065册，占比14.98%；J类艺术839册，占比11.80%；Z类综合性图书、G类文教体、F类经济、D类政治法律也占有一定比重。这一结构说明，民族文献特色馆藏并不是狭义的“民族学专架”，而是由历史、文学、艺术、综合文献、教育文化文献共同构成的复合型资源体系。</w:t>
      </w:r>
    </w:p>
    <w:p>
      <w:pPr>
        <w:spacing w:line="300" w:lineRule="auto" w:after="60"/>
        <w:ind w:firstLine="480"/>
        <w:jc w:val="both"/>
      </w:pPr>
      <w:r>
        <w:rPr>
          <w:rFonts w:ascii="Times New Roman" w:hAnsi="Times New Roman" w:eastAsia="宋体"/>
          <w:b w:val="0"/>
          <w:color w:val="000000"/>
          <w:sz w:val="24"/>
        </w:rPr>
        <w:t>从年度变化看，K类在各年都保持首位，说明历史地理类文献是民族特色馆藏最稳定的基础；I类文学和J类艺术在2023年与2025年较为活跃，显示出文学艺术文本在民族文化传承中的重要地位；2022年Z类综合性图书占比达到25.93%，反映出这一年集中购入了一批成套或综合性民族文献资料；2025年C类社会科学总论升至9.57%，与共同体意识相关专题文献的集中购入形成呼应。</w:t>
      </w:r>
    </w:p>
    <w:p>
      <w:pPr>
        <w:spacing w:line="300" w:lineRule="auto" w:after="60"/>
        <w:jc w:val="center"/>
      </w:pPr>
      <w:r>
        <w:rPr>
          <w:rFonts w:ascii="Times New Roman" w:hAnsi="Times New Roman" w:eastAsia="宋体"/>
          <w:b/>
          <w:color w:val="000000"/>
          <w:sz w:val="21"/>
        </w:rPr>
        <w:t>表5 民族文献特色馆藏中图法一级类分布</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line="240" w:lineRule="auto" w:after="0"/>
              <w:jc w:val="center"/>
            </w:pPr>
            <w:r>
              <w:rPr>
                <w:rFonts w:ascii="Times New Roman" w:hAnsi="Times New Roman" w:eastAsia="宋体"/>
                <w:color w:val="000000"/>
                <w:sz w:val="18"/>
              </w:rPr>
              <w:t>类别代码</w:t>
            </w:r>
          </w:p>
        </w:tc>
        <w:tc>
          <w:tcPr>
            <w:tcW w:type="dxa" w:w="2280"/>
            <w:vAlign w:val="center"/>
          </w:tcPr>
          <w:p>
            <w:pPr>
              <w:spacing w:line="240" w:lineRule="auto" w:after="0"/>
              <w:jc w:val="center"/>
            </w:pPr>
            <w:r>
              <w:rPr>
                <w:rFonts w:ascii="Times New Roman" w:hAnsi="Times New Roman" w:eastAsia="宋体"/>
                <w:color w:val="000000"/>
                <w:sz w:val="18"/>
              </w:rPr>
              <w:t>类别名称</w:t>
            </w:r>
          </w:p>
        </w:tc>
        <w:tc>
          <w:tcPr>
            <w:tcW w:type="dxa" w:w="2280"/>
            <w:vAlign w:val="center"/>
          </w:tcPr>
          <w:p>
            <w:pPr>
              <w:spacing w:line="240" w:lineRule="auto" w:after="0"/>
              <w:jc w:val="center"/>
            </w:pPr>
            <w:r>
              <w:rPr>
                <w:rFonts w:ascii="Times New Roman" w:hAnsi="Times New Roman" w:eastAsia="宋体"/>
                <w:color w:val="000000"/>
                <w:sz w:val="18"/>
              </w:rPr>
              <w:t>册数</w:t>
            </w:r>
          </w:p>
        </w:tc>
        <w:tc>
          <w:tcPr>
            <w:tcW w:type="dxa" w:w="2280"/>
            <w:vAlign w:val="center"/>
          </w:tcPr>
          <w:p>
            <w:pPr>
              <w:spacing w:line="240" w:lineRule="auto" w:after="0"/>
              <w:jc w:val="center"/>
            </w:pPr>
            <w:r>
              <w:rPr>
                <w:rFonts w:ascii="Times New Roman" w:hAnsi="Times New Roman" w:eastAsia="宋体"/>
                <w:color w:val="000000"/>
                <w:sz w:val="18"/>
              </w:rPr>
              <w:t>占比%</w:t>
            </w:r>
          </w:p>
        </w:tc>
      </w:tr>
      <w:tr>
        <w:tc>
          <w:tcPr>
            <w:tcW w:type="dxa" w:w="2280"/>
            <w:vAlign w:val="center"/>
          </w:tcPr>
          <w:p>
            <w:pPr>
              <w:spacing w:line="240" w:lineRule="auto" w:after="0"/>
              <w:jc w:val="center"/>
            </w:pPr>
            <w:r>
              <w:rPr>
                <w:rFonts w:ascii="Times New Roman" w:hAnsi="Times New Roman" w:eastAsia="宋体"/>
                <w:color w:val="000000"/>
                <w:sz w:val="18"/>
              </w:rPr>
              <w:t>K</w:t>
            </w:r>
          </w:p>
        </w:tc>
        <w:tc>
          <w:tcPr>
            <w:tcW w:type="dxa" w:w="2280"/>
            <w:vAlign w:val="center"/>
          </w:tcPr>
          <w:p>
            <w:pPr>
              <w:spacing w:line="240" w:lineRule="auto" w:after="0"/>
              <w:jc w:val="center"/>
            </w:pPr>
            <w:r>
              <w:rPr>
                <w:rFonts w:ascii="Times New Roman" w:hAnsi="Times New Roman" w:eastAsia="宋体"/>
                <w:color w:val="000000"/>
                <w:sz w:val="18"/>
              </w:rPr>
              <w:t>历史、地理</w:t>
            </w:r>
          </w:p>
        </w:tc>
        <w:tc>
          <w:tcPr>
            <w:tcW w:type="dxa" w:w="2280"/>
            <w:vAlign w:val="center"/>
          </w:tcPr>
          <w:p>
            <w:pPr>
              <w:spacing w:line="240" w:lineRule="auto" w:after="0"/>
              <w:jc w:val="center"/>
            </w:pPr>
            <w:r>
              <w:rPr>
                <w:rFonts w:ascii="Times New Roman" w:hAnsi="Times New Roman" w:eastAsia="宋体"/>
                <w:color w:val="000000"/>
                <w:sz w:val="18"/>
              </w:rPr>
              <w:t>2332</w:t>
            </w:r>
          </w:p>
        </w:tc>
        <w:tc>
          <w:tcPr>
            <w:tcW w:type="dxa" w:w="2280"/>
            <w:vAlign w:val="center"/>
          </w:tcPr>
          <w:p>
            <w:pPr>
              <w:spacing w:line="240" w:lineRule="auto" w:after="0"/>
              <w:jc w:val="center"/>
            </w:pPr>
            <w:r>
              <w:rPr>
                <w:rFonts w:ascii="Times New Roman" w:hAnsi="Times New Roman" w:eastAsia="宋体"/>
                <w:color w:val="000000"/>
                <w:sz w:val="18"/>
              </w:rPr>
              <w:t>32.81</w:t>
            </w:r>
          </w:p>
        </w:tc>
      </w:tr>
      <w:tr>
        <w:tc>
          <w:tcPr>
            <w:tcW w:type="dxa" w:w="2280"/>
            <w:vAlign w:val="center"/>
          </w:tcPr>
          <w:p>
            <w:pPr>
              <w:spacing w:line="240" w:lineRule="auto" w:after="0"/>
              <w:jc w:val="center"/>
            </w:pPr>
            <w:r>
              <w:rPr>
                <w:rFonts w:ascii="Times New Roman" w:hAnsi="Times New Roman" w:eastAsia="宋体"/>
                <w:color w:val="000000"/>
                <w:sz w:val="18"/>
              </w:rPr>
              <w:t>I</w:t>
            </w:r>
          </w:p>
        </w:tc>
        <w:tc>
          <w:tcPr>
            <w:tcW w:type="dxa" w:w="2280"/>
            <w:vAlign w:val="center"/>
          </w:tcPr>
          <w:p>
            <w:pPr>
              <w:spacing w:line="240" w:lineRule="auto" w:after="0"/>
              <w:jc w:val="center"/>
            </w:pPr>
            <w:r>
              <w:rPr>
                <w:rFonts w:ascii="Times New Roman" w:hAnsi="Times New Roman" w:eastAsia="宋体"/>
                <w:color w:val="000000"/>
                <w:sz w:val="18"/>
              </w:rPr>
              <w:t>文学</w:t>
            </w:r>
          </w:p>
        </w:tc>
        <w:tc>
          <w:tcPr>
            <w:tcW w:type="dxa" w:w="2280"/>
            <w:vAlign w:val="center"/>
          </w:tcPr>
          <w:p>
            <w:pPr>
              <w:spacing w:line="240" w:lineRule="auto" w:after="0"/>
              <w:jc w:val="center"/>
            </w:pPr>
            <w:r>
              <w:rPr>
                <w:rFonts w:ascii="Times New Roman" w:hAnsi="Times New Roman" w:eastAsia="宋体"/>
                <w:color w:val="000000"/>
                <w:sz w:val="18"/>
              </w:rPr>
              <w:t>1065</w:t>
            </w:r>
          </w:p>
        </w:tc>
        <w:tc>
          <w:tcPr>
            <w:tcW w:type="dxa" w:w="2280"/>
            <w:vAlign w:val="center"/>
          </w:tcPr>
          <w:p>
            <w:pPr>
              <w:spacing w:line="240" w:lineRule="auto" w:after="0"/>
              <w:jc w:val="center"/>
            </w:pPr>
            <w:r>
              <w:rPr>
                <w:rFonts w:ascii="Times New Roman" w:hAnsi="Times New Roman" w:eastAsia="宋体"/>
                <w:color w:val="000000"/>
                <w:sz w:val="18"/>
              </w:rPr>
              <w:t>14.98</w:t>
            </w:r>
          </w:p>
        </w:tc>
      </w:tr>
      <w:tr>
        <w:tc>
          <w:tcPr>
            <w:tcW w:type="dxa" w:w="2280"/>
            <w:vAlign w:val="center"/>
          </w:tcPr>
          <w:p>
            <w:pPr>
              <w:spacing w:line="240" w:lineRule="auto" w:after="0"/>
              <w:jc w:val="center"/>
            </w:pPr>
            <w:r>
              <w:rPr>
                <w:rFonts w:ascii="Times New Roman" w:hAnsi="Times New Roman" w:eastAsia="宋体"/>
                <w:color w:val="000000"/>
                <w:sz w:val="18"/>
              </w:rPr>
              <w:t>J</w:t>
            </w:r>
          </w:p>
        </w:tc>
        <w:tc>
          <w:tcPr>
            <w:tcW w:type="dxa" w:w="2280"/>
            <w:vAlign w:val="center"/>
          </w:tcPr>
          <w:p>
            <w:pPr>
              <w:spacing w:line="240" w:lineRule="auto" w:after="0"/>
              <w:jc w:val="center"/>
            </w:pPr>
            <w:r>
              <w:rPr>
                <w:rFonts w:ascii="Times New Roman" w:hAnsi="Times New Roman" w:eastAsia="宋体"/>
                <w:color w:val="000000"/>
                <w:sz w:val="18"/>
              </w:rPr>
              <w:t>艺术</w:t>
            </w:r>
          </w:p>
        </w:tc>
        <w:tc>
          <w:tcPr>
            <w:tcW w:type="dxa" w:w="2280"/>
            <w:vAlign w:val="center"/>
          </w:tcPr>
          <w:p>
            <w:pPr>
              <w:spacing w:line="240" w:lineRule="auto" w:after="0"/>
              <w:jc w:val="center"/>
            </w:pPr>
            <w:r>
              <w:rPr>
                <w:rFonts w:ascii="Times New Roman" w:hAnsi="Times New Roman" w:eastAsia="宋体"/>
                <w:color w:val="000000"/>
                <w:sz w:val="18"/>
              </w:rPr>
              <w:t>839</w:t>
            </w:r>
          </w:p>
        </w:tc>
        <w:tc>
          <w:tcPr>
            <w:tcW w:type="dxa" w:w="2280"/>
            <w:vAlign w:val="center"/>
          </w:tcPr>
          <w:p>
            <w:pPr>
              <w:spacing w:line="240" w:lineRule="auto" w:after="0"/>
              <w:jc w:val="center"/>
            </w:pPr>
            <w:r>
              <w:rPr>
                <w:rFonts w:ascii="Times New Roman" w:hAnsi="Times New Roman" w:eastAsia="宋体"/>
                <w:color w:val="000000"/>
                <w:sz w:val="18"/>
              </w:rPr>
              <w:t>11.8</w:t>
            </w:r>
          </w:p>
        </w:tc>
      </w:tr>
      <w:tr>
        <w:tc>
          <w:tcPr>
            <w:tcW w:type="dxa" w:w="2280"/>
            <w:vAlign w:val="center"/>
          </w:tcPr>
          <w:p>
            <w:pPr>
              <w:spacing w:line="240" w:lineRule="auto" w:after="0"/>
              <w:jc w:val="center"/>
            </w:pPr>
            <w:r>
              <w:rPr>
                <w:rFonts w:ascii="Times New Roman" w:hAnsi="Times New Roman" w:eastAsia="宋体"/>
                <w:color w:val="000000"/>
                <w:sz w:val="18"/>
              </w:rPr>
              <w:t>Z</w:t>
            </w:r>
          </w:p>
        </w:tc>
        <w:tc>
          <w:tcPr>
            <w:tcW w:type="dxa" w:w="2280"/>
            <w:vAlign w:val="center"/>
          </w:tcPr>
          <w:p>
            <w:pPr>
              <w:spacing w:line="240" w:lineRule="auto" w:after="0"/>
              <w:jc w:val="center"/>
            </w:pPr>
            <w:r>
              <w:rPr>
                <w:rFonts w:ascii="Times New Roman" w:hAnsi="Times New Roman" w:eastAsia="宋体"/>
                <w:color w:val="000000"/>
                <w:sz w:val="18"/>
              </w:rPr>
              <w:t>综合性图书</w:t>
            </w:r>
          </w:p>
        </w:tc>
        <w:tc>
          <w:tcPr>
            <w:tcW w:type="dxa" w:w="2280"/>
            <w:vAlign w:val="center"/>
          </w:tcPr>
          <w:p>
            <w:pPr>
              <w:spacing w:line="240" w:lineRule="auto" w:after="0"/>
              <w:jc w:val="center"/>
            </w:pPr>
            <w:r>
              <w:rPr>
                <w:rFonts w:ascii="Times New Roman" w:hAnsi="Times New Roman" w:eastAsia="宋体"/>
                <w:color w:val="000000"/>
                <w:sz w:val="18"/>
              </w:rPr>
              <w:t>445</w:t>
            </w:r>
          </w:p>
        </w:tc>
        <w:tc>
          <w:tcPr>
            <w:tcW w:type="dxa" w:w="2280"/>
            <w:vAlign w:val="center"/>
          </w:tcPr>
          <w:p>
            <w:pPr>
              <w:spacing w:line="240" w:lineRule="auto" w:after="0"/>
              <w:jc w:val="center"/>
            </w:pPr>
            <w:r>
              <w:rPr>
                <w:rFonts w:ascii="Times New Roman" w:hAnsi="Times New Roman" w:eastAsia="宋体"/>
                <w:color w:val="000000"/>
                <w:sz w:val="18"/>
              </w:rPr>
              <w:t>6.26</w:t>
            </w:r>
          </w:p>
        </w:tc>
      </w:tr>
      <w:tr>
        <w:tc>
          <w:tcPr>
            <w:tcW w:type="dxa" w:w="2280"/>
            <w:vAlign w:val="center"/>
          </w:tcPr>
          <w:p>
            <w:pPr>
              <w:spacing w:line="240" w:lineRule="auto" w:after="0"/>
              <w:jc w:val="center"/>
            </w:pPr>
            <w:r>
              <w:rPr>
                <w:rFonts w:ascii="Times New Roman" w:hAnsi="Times New Roman" w:eastAsia="宋体"/>
                <w:color w:val="000000"/>
                <w:sz w:val="18"/>
              </w:rPr>
              <w:t>G</w:t>
            </w:r>
          </w:p>
        </w:tc>
        <w:tc>
          <w:tcPr>
            <w:tcW w:type="dxa" w:w="2280"/>
            <w:vAlign w:val="center"/>
          </w:tcPr>
          <w:p>
            <w:pPr>
              <w:spacing w:line="240" w:lineRule="auto" w:after="0"/>
              <w:jc w:val="center"/>
            </w:pPr>
            <w:r>
              <w:rPr>
                <w:rFonts w:ascii="Times New Roman" w:hAnsi="Times New Roman" w:eastAsia="宋体"/>
                <w:color w:val="000000"/>
                <w:sz w:val="18"/>
              </w:rPr>
              <w:t>文化、科学、教育、体育</w:t>
            </w:r>
          </w:p>
        </w:tc>
        <w:tc>
          <w:tcPr>
            <w:tcW w:type="dxa" w:w="2280"/>
            <w:vAlign w:val="center"/>
          </w:tcPr>
          <w:p>
            <w:pPr>
              <w:spacing w:line="240" w:lineRule="auto" w:after="0"/>
              <w:jc w:val="center"/>
            </w:pPr>
            <w:r>
              <w:rPr>
                <w:rFonts w:ascii="Times New Roman" w:hAnsi="Times New Roman" w:eastAsia="宋体"/>
                <w:color w:val="000000"/>
                <w:sz w:val="18"/>
              </w:rPr>
              <w:t>428</w:t>
            </w:r>
          </w:p>
        </w:tc>
        <w:tc>
          <w:tcPr>
            <w:tcW w:type="dxa" w:w="2280"/>
            <w:vAlign w:val="center"/>
          </w:tcPr>
          <w:p>
            <w:pPr>
              <w:spacing w:line="240" w:lineRule="auto" w:after="0"/>
              <w:jc w:val="center"/>
            </w:pPr>
            <w:r>
              <w:rPr>
                <w:rFonts w:ascii="Times New Roman" w:hAnsi="Times New Roman" w:eastAsia="宋体"/>
                <w:color w:val="000000"/>
                <w:sz w:val="18"/>
              </w:rPr>
              <w:t>6.02</w:t>
            </w:r>
          </w:p>
        </w:tc>
      </w:tr>
      <w:tr>
        <w:tc>
          <w:tcPr>
            <w:tcW w:type="dxa" w:w="2280"/>
            <w:vAlign w:val="center"/>
          </w:tcPr>
          <w:p>
            <w:pPr>
              <w:spacing w:line="240" w:lineRule="auto" w:after="0"/>
              <w:jc w:val="center"/>
            </w:pPr>
            <w:r>
              <w:rPr>
                <w:rFonts w:ascii="Times New Roman" w:hAnsi="Times New Roman" w:eastAsia="宋体"/>
                <w:color w:val="000000"/>
                <w:sz w:val="18"/>
              </w:rPr>
              <w:t>F</w:t>
            </w:r>
          </w:p>
        </w:tc>
        <w:tc>
          <w:tcPr>
            <w:tcW w:type="dxa" w:w="2280"/>
            <w:vAlign w:val="center"/>
          </w:tcPr>
          <w:p>
            <w:pPr>
              <w:spacing w:line="240" w:lineRule="auto" w:after="0"/>
              <w:jc w:val="center"/>
            </w:pPr>
            <w:r>
              <w:rPr>
                <w:rFonts w:ascii="Times New Roman" w:hAnsi="Times New Roman" w:eastAsia="宋体"/>
                <w:color w:val="000000"/>
                <w:sz w:val="18"/>
              </w:rPr>
              <w:t>经济</w:t>
            </w:r>
          </w:p>
        </w:tc>
        <w:tc>
          <w:tcPr>
            <w:tcW w:type="dxa" w:w="2280"/>
            <w:vAlign w:val="center"/>
          </w:tcPr>
          <w:p>
            <w:pPr>
              <w:spacing w:line="240" w:lineRule="auto" w:after="0"/>
              <w:jc w:val="center"/>
            </w:pPr>
            <w:r>
              <w:rPr>
                <w:rFonts w:ascii="Times New Roman" w:hAnsi="Times New Roman" w:eastAsia="宋体"/>
                <w:color w:val="000000"/>
                <w:sz w:val="18"/>
              </w:rPr>
              <w:t>408</w:t>
            </w:r>
          </w:p>
        </w:tc>
        <w:tc>
          <w:tcPr>
            <w:tcW w:type="dxa" w:w="2280"/>
            <w:vAlign w:val="center"/>
          </w:tcPr>
          <w:p>
            <w:pPr>
              <w:spacing w:line="240" w:lineRule="auto" w:after="0"/>
              <w:jc w:val="center"/>
            </w:pPr>
            <w:r>
              <w:rPr>
                <w:rFonts w:ascii="Times New Roman" w:hAnsi="Times New Roman" w:eastAsia="宋体"/>
                <w:color w:val="000000"/>
                <w:sz w:val="18"/>
              </w:rPr>
              <w:t>5.74</w:t>
            </w:r>
          </w:p>
        </w:tc>
      </w:tr>
      <w:tr>
        <w:tc>
          <w:tcPr>
            <w:tcW w:type="dxa" w:w="2280"/>
            <w:vAlign w:val="center"/>
          </w:tcPr>
          <w:p>
            <w:pPr>
              <w:spacing w:line="240" w:lineRule="auto" w:after="0"/>
              <w:jc w:val="center"/>
            </w:pPr>
            <w:r>
              <w:rPr>
                <w:rFonts w:ascii="Times New Roman" w:hAnsi="Times New Roman" w:eastAsia="宋体"/>
                <w:color w:val="000000"/>
                <w:sz w:val="18"/>
              </w:rPr>
              <w:t>D</w:t>
            </w:r>
          </w:p>
        </w:tc>
        <w:tc>
          <w:tcPr>
            <w:tcW w:type="dxa" w:w="2280"/>
            <w:vAlign w:val="center"/>
          </w:tcPr>
          <w:p>
            <w:pPr>
              <w:spacing w:line="240" w:lineRule="auto" w:after="0"/>
              <w:jc w:val="center"/>
            </w:pPr>
            <w:r>
              <w:rPr>
                <w:rFonts w:ascii="Times New Roman" w:hAnsi="Times New Roman" w:eastAsia="宋体"/>
                <w:color w:val="000000"/>
                <w:sz w:val="18"/>
              </w:rPr>
              <w:t>政治、法律</w:t>
            </w:r>
          </w:p>
        </w:tc>
        <w:tc>
          <w:tcPr>
            <w:tcW w:type="dxa" w:w="2280"/>
            <w:vAlign w:val="center"/>
          </w:tcPr>
          <w:p>
            <w:pPr>
              <w:spacing w:line="240" w:lineRule="auto" w:after="0"/>
              <w:jc w:val="center"/>
            </w:pPr>
            <w:r>
              <w:rPr>
                <w:rFonts w:ascii="Times New Roman" w:hAnsi="Times New Roman" w:eastAsia="宋体"/>
                <w:color w:val="000000"/>
                <w:sz w:val="18"/>
              </w:rPr>
              <w:t>395</w:t>
            </w:r>
          </w:p>
        </w:tc>
        <w:tc>
          <w:tcPr>
            <w:tcW w:type="dxa" w:w="2280"/>
            <w:vAlign w:val="center"/>
          </w:tcPr>
          <w:p>
            <w:pPr>
              <w:spacing w:line="240" w:lineRule="auto" w:after="0"/>
              <w:jc w:val="center"/>
            </w:pPr>
            <w:r>
              <w:rPr>
                <w:rFonts w:ascii="Times New Roman" w:hAnsi="Times New Roman" w:eastAsia="宋体"/>
                <w:color w:val="000000"/>
                <w:sz w:val="18"/>
              </w:rPr>
              <w:t>5.56</w:t>
            </w:r>
          </w:p>
        </w:tc>
      </w:tr>
      <w:tr>
        <w:tc>
          <w:tcPr>
            <w:tcW w:type="dxa" w:w="2280"/>
            <w:vAlign w:val="center"/>
          </w:tcPr>
          <w:p>
            <w:pPr>
              <w:spacing w:line="240" w:lineRule="auto" w:after="0"/>
              <w:jc w:val="center"/>
            </w:pPr>
            <w:r>
              <w:rPr>
                <w:rFonts w:ascii="Times New Roman" w:hAnsi="Times New Roman" w:eastAsia="宋体"/>
                <w:color w:val="000000"/>
                <w:sz w:val="18"/>
              </w:rPr>
              <w:t>H</w:t>
            </w:r>
          </w:p>
        </w:tc>
        <w:tc>
          <w:tcPr>
            <w:tcW w:type="dxa" w:w="2280"/>
            <w:vAlign w:val="center"/>
          </w:tcPr>
          <w:p>
            <w:pPr>
              <w:spacing w:line="240" w:lineRule="auto" w:after="0"/>
              <w:jc w:val="center"/>
            </w:pPr>
            <w:r>
              <w:rPr>
                <w:rFonts w:ascii="Times New Roman" w:hAnsi="Times New Roman" w:eastAsia="宋体"/>
                <w:color w:val="000000"/>
                <w:sz w:val="18"/>
              </w:rPr>
              <w:t>语言、文字</w:t>
            </w:r>
          </w:p>
        </w:tc>
        <w:tc>
          <w:tcPr>
            <w:tcW w:type="dxa" w:w="2280"/>
            <w:vAlign w:val="center"/>
          </w:tcPr>
          <w:p>
            <w:pPr>
              <w:spacing w:line="240" w:lineRule="auto" w:after="0"/>
              <w:jc w:val="center"/>
            </w:pPr>
            <w:r>
              <w:rPr>
                <w:rFonts w:ascii="Times New Roman" w:hAnsi="Times New Roman" w:eastAsia="宋体"/>
                <w:color w:val="000000"/>
                <w:sz w:val="18"/>
              </w:rPr>
              <w:t>322</w:t>
            </w:r>
          </w:p>
        </w:tc>
        <w:tc>
          <w:tcPr>
            <w:tcW w:type="dxa" w:w="2280"/>
            <w:vAlign w:val="center"/>
          </w:tcPr>
          <w:p>
            <w:pPr>
              <w:spacing w:line="240" w:lineRule="auto" w:after="0"/>
              <w:jc w:val="center"/>
            </w:pPr>
            <w:r>
              <w:rPr>
                <w:rFonts w:ascii="Times New Roman" w:hAnsi="Times New Roman" w:eastAsia="宋体"/>
                <w:color w:val="000000"/>
                <w:sz w:val="18"/>
              </w:rPr>
              <w:t>4.53</w:t>
            </w:r>
          </w:p>
        </w:tc>
      </w:tr>
      <w:tr>
        <w:tc>
          <w:tcPr>
            <w:tcW w:type="dxa" w:w="2280"/>
            <w:vAlign w:val="center"/>
          </w:tcPr>
          <w:p>
            <w:pPr>
              <w:spacing w:line="240" w:lineRule="auto" w:after="0"/>
              <w:jc w:val="center"/>
            </w:pPr>
            <w:r>
              <w:rPr>
                <w:rFonts w:ascii="Times New Roman" w:hAnsi="Times New Roman" w:eastAsia="宋体"/>
                <w:color w:val="000000"/>
                <w:sz w:val="18"/>
              </w:rPr>
              <w:t>C</w:t>
            </w:r>
          </w:p>
        </w:tc>
        <w:tc>
          <w:tcPr>
            <w:tcW w:type="dxa" w:w="2280"/>
            <w:vAlign w:val="center"/>
          </w:tcPr>
          <w:p>
            <w:pPr>
              <w:spacing w:line="240" w:lineRule="auto" w:after="0"/>
              <w:jc w:val="center"/>
            </w:pPr>
            <w:r>
              <w:rPr>
                <w:rFonts w:ascii="Times New Roman" w:hAnsi="Times New Roman" w:eastAsia="宋体"/>
                <w:color w:val="000000"/>
                <w:sz w:val="18"/>
              </w:rPr>
              <w:t>社会科学总论</w:t>
            </w:r>
          </w:p>
        </w:tc>
        <w:tc>
          <w:tcPr>
            <w:tcW w:type="dxa" w:w="2280"/>
            <w:vAlign w:val="center"/>
          </w:tcPr>
          <w:p>
            <w:pPr>
              <w:spacing w:line="240" w:lineRule="auto" w:after="0"/>
              <w:jc w:val="center"/>
            </w:pPr>
            <w:r>
              <w:rPr>
                <w:rFonts w:ascii="Times New Roman" w:hAnsi="Times New Roman" w:eastAsia="宋体"/>
                <w:color w:val="000000"/>
                <w:sz w:val="18"/>
              </w:rPr>
              <w:t>256</w:t>
            </w:r>
          </w:p>
        </w:tc>
        <w:tc>
          <w:tcPr>
            <w:tcW w:type="dxa" w:w="2280"/>
            <w:vAlign w:val="center"/>
          </w:tcPr>
          <w:p>
            <w:pPr>
              <w:spacing w:line="240" w:lineRule="auto" w:after="0"/>
              <w:jc w:val="center"/>
            </w:pPr>
            <w:r>
              <w:rPr>
                <w:rFonts w:ascii="Times New Roman" w:hAnsi="Times New Roman" w:eastAsia="宋体"/>
                <w:color w:val="000000"/>
                <w:sz w:val="18"/>
              </w:rPr>
              <w:t>3.6</w:t>
            </w:r>
          </w:p>
        </w:tc>
      </w:tr>
      <w:tr>
        <w:tc>
          <w:tcPr>
            <w:tcW w:type="dxa" w:w="2280"/>
            <w:vAlign w:val="center"/>
          </w:tcPr>
          <w:p>
            <w:pPr>
              <w:spacing w:line="240" w:lineRule="auto" w:after="0"/>
              <w:jc w:val="center"/>
            </w:pPr>
            <w:r>
              <w:rPr>
                <w:rFonts w:ascii="Times New Roman" w:hAnsi="Times New Roman" w:eastAsia="宋体"/>
                <w:color w:val="000000"/>
                <w:sz w:val="18"/>
              </w:rPr>
              <w:t>R</w:t>
            </w:r>
          </w:p>
        </w:tc>
        <w:tc>
          <w:tcPr>
            <w:tcW w:type="dxa" w:w="2280"/>
            <w:vAlign w:val="center"/>
          </w:tcPr>
          <w:p>
            <w:pPr>
              <w:spacing w:line="240" w:lineRule="auto" w:after="0"/>
              <w:jc w:val="center"/>
            </w:pPr>
            <w:r>
              <w:rPr>
                <w:rFonts w:ascii="Times New Roman" w:hAnsi="Times New Roman" w:eastAsia="宋体"/>
                <w:color w:val="000000"/>
                <w:sz w:val="18"/>
              </w:rPr>
              <w:t>医药、卫生</w:t>
            </w:r>
          </w:p>
        </w:tc>
        <w:tc>
          <w:tcPr>
            <w:tcW w:type="dxa" w:w="2280"/>
            <w:vAlign w:val="center"/>
          </w:tcPr>
          <w:p>
            <w:pPr>
              <w:spacing w:line="240" w:lineRule="auto" w:after="0"/>
              <w:jc w:val="center"/>
            </w:pPr>
            <w:r>
              <w:rPr>
                <w:rFonts w:ascii="Times New Roman" w:hAnsi="Times New Roman" w:eastAsia="宋体"/>
                <w:color w:val="000000"/>
                <w:sz w:val="18"/>
              </w:rPr>
              <w:t>231</w:t>
            </w:r>
          </w:p>
        </w:tc>
        <w:tc>
          <w:tcPr>
            <w:tcW w:type="dxa" w:w="2280"/>
            <w:vAlign w:val="center"/>
          </w:tcPr>
          <w:p>
            <w:pPr>
              <w:spacing w:line="240" w:lineRule="auto" w:after="0"/>
              <w:jc w:val="center"/>
            </w:pPr>
            <w:r>
              <w:rPr>
                <w:rFonts w:ascii="Times New Roman" w:hAnsi="Times New Roman" w:eastAsia="宋体"/>
                <w:color w:val="000000"/>
                <w:sz w:val="18"/>
              </w:rPr>
              <w:t>3.25</w:t>
            </w:r>
          </w:p>
        </w:tc>
      </w:tr>
    </w:tbl>
    <w:p>
      <w:pPr>
        <w:spacing w:line="300" w:lineRule="auto" w:before="120" w:after="60"/>
        <w:jc w:val="left"/>
      </w:pPr>
      <w:r>
        <w:rPr>
          <w:rFonts w:ascii="Times New Roman" w:hAnsi="Times New Roman" w:eastAsia="黑体"/>
          <w:b/>
          <w:color w:val="000000"/>
          <w:sz w:val="24"/>
        </w:rPr>
        <w:t>3.4 价格与高价样本：专题文献和影印本是资源建设重点</w:t>
      </w:r>
    </w:p>
    <w:p>
      <w:pPr>
        <w:spacing w:line="300" w:lineRule="auto" w:after="60"/>
        <w:ind w:firstLine="480"/>
        <w:jc w:val="both"/>
      </w:pPr>
      <w:r>
        <w:rPr>
          <w:rFonts w:ascii="Times New Roman" w:hAnsi="Times New Roman" w:eastAsia="宋体"/>
          <w:b w:val="0"/>
          <w:color w:val="000000"/>
          <w:sz w:val="24"/>
        </w:rPr>
        <w:t>与全馆新增馆藏相比，民族文献特色馆藏的价格水平明显更高。其2021—2025年新增均价为155.23元，中位价82元，明显高于全馆新增馆藏的平均水平。这意味着该板块不仅仅是“数量型”配置，更呈现出较强的“质量型”和“专题型”特征。从高价样本看，民族文献阅览区集中出现《中国民间文学大系》相关卷册，以及“近现代中华民族共同体意识研究历史文献影印集刊”等高价资料集，单册价格在1200元至1580元之间。</w:t>
      </w:r>
    </w:p>
    <w:p>
      <w:pPr>
        <w:spacing w:line="300" w:lineRule="auto" w:after="60"/>
        <w:ind w:firstLine="480"/>
        <w:jc w:val="both"/>
      </w:pPr>
      <w:r>
        <w:rPr>
          <w:rFonts w:ascii="Times New Roman" w:hAnsi="Times New Roman" w:eastAsia="宋体"/>
          <w:b w:val="0"/>
          <w:color w:val="000000"/>
          <w:sz w:val="24"/>
        </w:rPr>
        <w:t>尤其值得重视的是，2025年高价样本中出现多种“近现代中华民族共同体意识研究历史文献影印集刊”，且索书号落在C95等社会科学相关位置，这说明特色馆藏建设已经不只是保留传统民族文献，而是在主动引入能够服务新时代民族理论研究与共同体意识教育的专题资源。对于民族特色高校而言，这种资源投入方向具有明显的战略意味。</w:t>
      </w:r>
    </w:p>
    <w:p>
      <w:pPr>
        <w:spacing w:line="300" w:lineRule="auto" w:after="60"/>
        <w:jc w:val="center"/>
      </w:pPr>
      <w:r>
        <w:rPr>
          <w:rFonts w:ascii="Times New Roman" w:hAnsi="Times New Roman" w:eastAsia="宋体"/>
          <w:b/>
          <w:color w:val="000000"/>
          <w:sz w:val="21"/>
        </w:rPr>
        <w:t>表6 民族文献特色馆藏高价文献样本</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line="240" w:lineRule="auto" w:after="0"/>
              <w:jc w:val="center"/>
            </w:pPr>
            <w:r>
              <w:rPr>
                <w:rFonts w:ascii="Times New Roman" w:hAnsi="Times New Roman" w:eastAsia="宋体"/>
                <w:color w:val="000000"/>
                <w:sz w:val="17"/>
              </w:rPr>
              <w:t>题名</w:t>
            </w:r>
          </w:p>
        </w:tc>
        <w:tc>
          <w:tcPr>
            <w:tcW w:type="dxa" w:w="1824"/>
            <w:vAlign w:val="center"/>
          </w:tcPr>
          <w:p>
            <w:pPr>
              <w:spacing w:line="240" w:lineRule="auto" w:after="0"/>
              <w:jc w:val="center"/>
            </w:pPr>
            <w:r>
              <w:rPr>
                <w:rFonts w:ascii="Times New Roman" w:hAnsi="Times New Roman" w:eastAsia="宋体"/>
                <w:color w:val="000000"/>
                <w:sz w:val="17"/>
              </w:rPr>
              <w:t>出版社</w:t>
            </w:r>
          </w:p>
        </w:tc>
        <w:tc>
          <w:tcPr>
            <w:tcW w:type="dxa" w:w="1824"/>
            <w:vAlign w:val="center"/>
          </w:tcPr>
          <w:p>
            <w:pPr>
              <w:spacing w:line="240" w:lineRule="auto" w:after="0"/>
              <w:jc w:val="center"/>
            </w:pPr>
            <w:r>
              <w:rPr>
                <w:rFonts w:ascii="Times New Roman" w:hAnsi="Times New Roman" w:eastAsia="宋体"/>
                <w:color w:val="000000"/>
                <w:sz w:val="17"/>
              </w:rPr>
              <w:t>价格</w:t>
            </w:r>
          </w:p>
        </w:tc>
        <w:tc>
          <w:tcPr>
            <w:tcW w:type="dxa" w:w="1824"/>
            <w:vAlign w:val="center"/>
          </w:tcPr>
          <w:p>
            <w:pPr>
              <w:spacing w:line="240" w:lineRule="auto" w:after="0"/>
              <w:jc w:val="center"/>
            </w:pPr>
            <w:r>
              <w:rPr>
                <w:rFonts w:ascii="Times New Roman" w:hAnsi="Times New Roman" w:eastAsia="宋体"/>
                <w:color w:val="000000"/>
                <w:sz w:val="17"/>
              </w:rPr>
              <w:t>馆藏地</w:t>
            </w:r>
          </w:p>
        </w:tc>
        <w:tc>
          <w:tcPr>
            <w:tcW w:type="dxa" w:w="1824"/>
            <w:vAlign w:val="center"/>
          </w:tcPr>
          <w:p>
            <w:pPr>
              <w:spacing w:line="240" w:lineRule="auto" w:after="0"/>
              <w:jc w:val="center"/>
            </w:pPr>
            <w:r>
              <w:rPr>
                <w:rFonts w:ascii="Times New Roman" w:hAnsi="Times New Roman" w:eastAsia="宋体"/>
                <w:color w:val="000000"/>
                <w:sz w:val="17"/>
              </w:rPr>
              <w:t>采购年</w:t>
            </w:r>
          </w:p>
        </w:tc>
      </w:tr>
      <w:tr>
        <w:tc>
          <w:tcPr>
            <w:tcW w:type="dxa" w:w="1824"/>
            <w:vAlign w:val="center"/>
          </w:tcPr>
          <w:p>
            <w:pPr>
              <w:spacing w:line="240" w:lineRule="auto" w:after="0"/>
              <w:jc w:val="center"/>
            </w:pPr>
            <w:r>
              <w:rPr>
                <w:rFonts w:ascii="Times New Roman" w:hAnsi="Times New Roman" w:eastAsia="宋体"/>
                <w:color w:val="000000"/>
                <w:sz w:val="17"/>
              </w:rPr>
              <w:t>中国民间文学大系.7,说唱.15,内蒙古卷.7,Collection of telling and singing.15,Neimenggu volume</w:t>
            </w:r>
          </w:p>
        </w:tc>
        <w:tc>
          <w:tcPr>
            <w:tcW w:type="dxa" w:w="1824"/>
            <w:vAlign w:val="center"/>
          </w:tcPr>
          <w:p>
            <w:pPr>
              <w:spacing w:line="240" w:lineRule="auto" w:after="0"/>
              <w:jc w:val="center"/>
            </w:pPr>
            <w:r>
              <w:rPr>
                <w:rFonts w:ascii="Times New Roman" w:hAnsi="Times New Roman" w:eastAsia="宋体"/>
                <w:color w:val="000000"/>
                <w:sz w:val="17"/>
              </w:rPr>
              <w:t>中国文联出版社</w:t>
            </w:r>
          </w:p>
        </w:tc>
        <w:tc>
          <w:tcPr>
            <w:tcW w:type="dxa" w:w="1824"/>
            <w:vAlign w:val="center"/>
          </w:tcPr>
          <w:p>
            <w:pPr>
              <w:spacing w:line="240" w:lineRule="auto" w:after="0"/>
              <w:jc w:val="center"/>
            </w:pPr>
            <w:r>
              <w:rPr>
                <w:rFonts w:ascii="Times New Roman" w:hAnsi="Times New Roman" w:eastAsia="宋体"/>
                <w:color w:val="000000"/>
                <w:sz w:val="17"/>
              </w:rPr>
              <w:t>1580.0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2023</w:t>
            </w:r>
          </w:p>
        </w:tc>
      </w:tr>
      <w:tr>
        <w:tc>
          <w:tcPr>
            <w:tcW w:type="dxa" w:w="1824"/>
            <w:vAlign w:val="center"/>
          </w:tcPr>
          <w:p>
            <w:pPr>
              <w:spacing w:line="240" w:lineRule="auto" w:after="0"/>
              <w:jc w:val="center"/>
            </w:pPr>
            <w:r>
              <w:rPr>
                <w:rFonts w:ascii="Times New Roman" w:hAnsi="Times New Roman" w:eastAsia="宋体"/>
                <w:color w:val="000000"/>
                <w:sz w:val="17"/>
              </w:rPr>
              <w:t>中国民间文学大系.2,史诗.63,青海卷,格萨尔分卷,collection of epics,Qinghai volume,Gesar</w:t>
            </w:r>
          </w:p>
        </w:tc>
        <w:tc>
          <w:tcPr>
            <w:tcW w:type="dxa" w:w="1824"/>
            <w:vAlign w:val="center"/>
          </w:tcPr>
          <w:p>
            <w:pPr>
              <w:spacing w:line="240" w:lineRule="auto" w:after="0"/>
              <w:jc w:val="center"/>
            </w:pPr>
            <w:r>
              <w:rPr>
                <w:rFonts w:ascii="Times New Roman" w:hAnsi="Times New Roman" w:eastAsia="宋体"/>
                <w:color w:val="000000"/>
                <w:sz w:val="17"/>
              </w:rPr>
              <w:t>中国文联出版社</w:t>
            </w:r>
          </w:p>
        </w:tc>
        <w:tc>
          <w:tcPr>
            <w:tcW w:type="dxa" w:w="1824"/>
            <w:vAlign w:val="center"/>
          </w:tcPr>
          <w:p>
            <w:pPr>
              <w:spacing w:line="240" w:lineRule="auto" w:after="0"/>
              <w:jc w:val="center"/>
            </w:pPr>
            <w:r>
              <w:rPr>
                <w:rFonts w:ascii="Times New Roman" w:hAnsi="Times New Roman" w:eastAsia="宋体"/>
                <w:color w:val="000000"/>
                <w:sz w:val="17"/>
              </w:rPr>
              <w:t>1280.0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2023</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近現代中華民族共同體意識研究歷史文獻影印集刊.影印本</w:t>
            </w:r>
          </w:p>
        </w:tc>
        <w:tc>
          <w:tcPr>
            <w:tcW w:type="dxa" w:w="1824"/>
            <w:vAlign w:val="center"/>
          </w:tcPr>
          <w:p>
            <w:pPr>
              <w:spacing w:line="240" w:lineRule="auto" w:after="0"/>
              <w:jc w:val="center"/>
            </w:pPr>
            <w:r>
              <w:rPr>
                <w:rFonts w:ascii="Times New Roman" w:hAnsi="Times New Roman" w:eastAsia="宋体"/>
                <w:color w:val="000000"/>
                <w:sz w:val="17"/>
              </w:rPr>
              <w:t>蝠池书院</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近現代中華民族共同體意識研究歷史文獻影印集刊.影印本</w:t>
            </w:r>
          </w:p>
        </w:tc>
        <w:tc>
          <w:tcPr>
            <w:tcW w:type="dxa" w:w="1824"/>
            <w:vAlign w:val="center"/>
          </w:tcPr>
          <w:p>
            <w:pPr>
              <w:spacing w:line="240" w:lineRule="auto" w:after="0"/>
              <w:jc w:val="center"/>
            </w:pPr>
            <w:r>
              <w:rPr>
                <w:rFonts w:ascii="Times New Roman" w:hAnsi="Times New Roman" w:eastAsia="宋体"/>
                <w:color w:val="000000"/>
                <w:sz w:val="17"/>
              </w:rPr>
              <w:t>蝠池书院</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近现代中华民族共同体意识研究历史文献影印集刊:续编.影印本</w:t>
            </w:r>
          </w:p>
        </w:tc>
        <w:tc>
          <w:tcPr>
            <w:tcW w:type="dxa" w:w="1824"/>
            <w:vAlign w:val="center"/>
          </w:tcPr>
          <w:p>
            <w:pPr>
              <w:spacing w:line="240" w:lineRule="auto" w:after="0"/>
              <w:jc w:val="center"/>
            </w:pPr>
            <w:r>
              <w:rPr>
                <w:rFonts w:ascii="Times New Roman" w:hAnsi="Times New Roman" w:eastAsia="宋体"/>
                <w:color w:val="000000"/>
                <w:sz w:val="17"/>
              </w:rPr>
              <w:t>蝠池书院出版有限公司</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近現代中華民族共同體意識研究歷史文獻影印集刊.影印本</w:t>
            </w:r>
          </w:p>
        </w:tc>
        <w:tc>
          <w:tcPr>
            <w:tcW w:type="dxa" w:w="1824"/>
            <w:vAlign w:val="center"/>
          </w:tcPr>
          <w:p>
            <w:pPr>
              <w:spacing w:line="240" w:lineRule="auto" w:after="0"/>
              <w:jc w:val="center"/>
            </w:pPr>
            <w:r>
              <w:rPr>
                <w:rFonts w:ascii="Times New Roman" w:hAnsi="Times New Roman" w:eastAsia="宋体"/>
                <w:color w:val="000000"/>
                <w:sz w:val="17"/>
              </w:rPr>
              <w:t>蝠池书院</w:t>
            </w:r>
          </w:p>
        </w:tc>
        <w:tc>
          <w:tcPr>
            <w:tcW w:type="dxa" w:w="1824"/>
            <w:vAlign w:val="center"/>
          </w:tcPr>
          <w:p>
            <w:pPr>
              <w:spacing w:line="240" w:lineRule="auto" w:after="0"/>
              <w:jc w:val="center"/>
            </w:pPr>
            <w:r>
              <w:rPr>
                <w:rFonts w:ascii="Times New Roman" w:hAnsi="Times New Roman" w:eastAsia="宋体"/>
                <w:color w:val="000000"/>
                <w:sz w:val="17"/>
              </w:rPr>
              <w:t>1200.0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2025</w:t>
            </w:r>
          </w:p>
        </w:tc>
      </w:tr>
    </w:tbl>
    <w:p>
      <w:pPr>
        <w:spacing w:line="300" w:lineRule="auto" w:before="120" w:after="60"/>
        <w:jc w:val="left"/>
      </w:pPr>
      <w:r>
        <w:rPr>
          <w:rFonts w:ascii="Times New Roman" w:hAnsi="Times New Roman" w:eastAsia="黑体"/>
          <w:b/>
          <w:color w:val="000000"/>
          <w:sz w:val="24"/>
        </w:rPr>
        <w:t>3.5 出版来源：民族出版社系与学术出版社并行</w:t>
      </w:r>
    </w:p>
    <w:p>
      <w:pPr>
        <w:spacing w:line="300" w:lineRule="auto" w:after="60"/>
        <w:ind w:firstLine="480"/>
        <w:jc w:val="both"/>
      </w:pPr>
      <w:r>
        <w:rPr>
          <w:rFonts w:ascii="Times New Roman" w:hAnsi="Times New Roman" w:eastAsia="宋体"/>
          <w:b w:val="0"/>
          <w:color w:val="000000"/>
          <w:sz w:val="24"/>
        </w:rPr>
        <w:t>从出版社分布看，民族文献特色馆藏的主要来源既包括中国社会科学出版社、中华书局、社会科学文献出版社等综合学术出版社，也包括云南民族出版社、民族出版社、贵州民族出版社、广西民族出版社、德宏民族出版社等民族类出版社。这一结构说明，H大学民族文献资源建设并不是依赖单一来源，而是同时吸纳通用学术出版资源与民族文化出版资源。前者保障学术研究深度，后者强化区域性和民族性。</w:t>
      </w:r>
    </w:p>
    <w:p>
      <w:pPr>
        <w:spacing w:line="300" w:lineRule="auto" w:after="60"/>
        <w:jc w:val="center"/>
      </w:pPr>
      <w:r>
        <w:rPr>
          <w:rFonts w:ascii="Times New Roman" w:hAnsi="Times New Roman" w:eastAsia="宋体"/>
          <w:b/>
          <w:color w:val="000000"/>
          <w:sz w:val="21"/>
        </w:rPr>
        <w:t>表7 民族文献特色馆藏主要出版社</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line="240" w:lineRule="auto" w:after="0"/>
              <w:jc w:val="center"/>
            </w:pPr>
            <w:r>
              <w:rPr>
                <w:rFonts w:ascii="Times New Roman" w:hAnsi="Times New Roman" w:eastAsia="宋体"/>
                <w:color w:val="000000"/>
                <w:sz w:val="18"/>
              </w:rPr>
              <w:t>出版社</w:t>
            </w:r>
          </w:p>
        </w:tc>
        <w:tc>
          <w:tcPr>
            <w:tcW w:type="dxa" w:w="3041"/>
            <w:vAlign w:val="center"/>
          </w:tcPr>
          <w:p>
            <w:pPr>
              <w:spacing w:line="240" w:lineRule="auto" w:after="0"/>
              <w:jc w:val="center"/>
            </w:pPr>
            <w:r>
              <w:rPr>
                <w:rFonts w:ascii="Times New Roman" w:hAnsi="Times New Roman" w:eastAsia="宋体"/>
                <w:color w:val="000000"/>
                <w:sz w:val="18"/>
              </w:rPr>
              <w:t>册数</w:t>
            </w:r>
          </w:p>
        </w:tc>
        <w:tc>
          <w:tcPr>
            <w:tcW w:type="dxa" w:w="3041"/>
            <w:vAlign w:val="center"/>
          </w:tcPr>
          <w:p>
            <w:pPr>
              <w:spacing w:line="240" w:lineRule="auto" w:after="0"/>
              <w:jc w:val="center"/>
            </w:pPr>
            <w:r>
              <w:rPr>
                <w:rFonts w:ascii="Times New Roman" w:hAnsi="Times New Roman" w:eastAsia="宋体"/>
                <w:color w:val="000000"/>
                <w:sz w:val="18"/>
              </w:rPr>
              <w:t>占比%</w:t>
            </w:r>
          </w:p>
        </w:tc>
      </w:tr>
      <w:tr>
        <w:tc>
          <w:tcPr>
            <w:tcW w:type="dxa" w:w="3041"/>
            <w:vAlign w:val="center"/>
          </w:tcPr>
          <w:p>
            <w:pPr>
              <w:spacing w:line="240" w:lineRule="auto" w:after="0"/>
              <w:jc w:val="center"/>
            </w:pPr>
            <w:r>
              <w:rPr>
                <w:rFonts w:ascii="Times New Roman" w:hAnsi="Times New Roman" w:eastAsia="宋体"/>
                <w:color w:val="000000"/>
                <w:sz w:val="18"/>
              </w:rPr>
              <w:t>中国社会科学出版社</w:t>
            </w:r>
          </w:p>
        </w:tc>
        <w:tc>
          <w:tcPr>
            <w:tcW w:type="dxa" w:w="3041"/>
            <w:vAlign w:val="center"/>
          </w:tcPr>
          <w:p>
            <w:pPr>
              <w:spacing w:line="240" w:lineRule="auto" w:after="0"/>
              <w:jc w:val="center"/>
            </w:pPr>
            <w:r>
              <w:rPr>
                <w:rFonts w:ascii="Times New Roman" w:hAnsi="Times New Roman" w:eastAsia="宋体"/>
                <w:color w:val="000000"/>
                <w:sz w:val="18"/>
              </w:rPr>
              <w:t>551</w:t>
            </w:r>
          </w:p>
        </w:tc>
        <w:tc>
          <w:tcPr>
            <w:tcW w:type="dxa" w:w="3041"/>
            <w:vAlign w:val="center"/>
          </w:tcPr>
          <w:p>
            <w:pPr>
              <w:spacing w:line="240" w:lineRule="auto" w:after="0"/>
              <w:jc w:val="center"/>
            </w:pPr>
            <w:r>
              <w:rPr>
                <w:rFonts w:ascii="Times New Roman" w:hAnsi="Times New Roman" w:eastAsia="宋体"/>
                <w:color w:val="000000"/>
                <w:sz w:val="18"/>
              </w:rPr>
              <w:t>7.75</w:t>
            </w:r>
          </w:p>
        </w:tc>
      </w:tr>
      <w:tr>
        <w:tc>
          <w:tcPr>
            <w:tcW w:type="dxa" w:w="3041"/>
            <w:vAlign w:val="center"/>
          </w:tcPr>
          <w:p>
            <w:pPr>
              <w:spacing w:line="240" w:lineRule="auto" w:after="0"/>
              <w:jc w:val="center"/>
            </w:pPr>
            <w:r>
              <w:rPr>
                <w:rFonts w:ascii="Times New Roman" w:hAnsi="Times New Roman" w:eastAsia="宋体"/>
                <w:color w:val="000000"/>
                <w:sz w:val="18"/>
              </w:rPr>
              <w:t>云南民族出版社</w:t>
            </w:r>
          </w:p>
        </w:tc>
        <w:tc>
          <w:tcPr>
            <w:tcW w:type="dxa" w:w="3041"/>
            <w:vAlign w:val="center"/>
          </w:tcPr>
          <w:p>
            <w:pPr>
              <w:spacing w:line="240" w:lineRule="auto" w:after="0"/>
              <w:jc w:val="center"/>
            </w:pPr>
            <w:r>
              <w:rPr>
                <w:rFonts w:ascii="Times New Roman" w:hAnsi="Times New Roman" w:eastAsia="宋体"/>
                <w:color w:val="000000"/>
                <w:sz w:val="18"/>
              </w:rPr>
              <w:t>398</w:t>
            </w:r>
          </w:p>
        </w:tc>
        <w:tc>
          <w:tcPr>
            <w:tcW w:type="dxa" w:w="3041"/>
            <w:vAlign w:val="center"/>
          </w:tcPr>
          <w:p>
            <w:pPr>
              <w:spacing w:line="240" w:lineRule="auto" w:after="0"/>
              <w:jc w:val="center"/>
            </w:pPr>
            <w:r>
              <w:rPr>
                <w:rFonts w:ascii="Times New Roman" w:hAnsi="Times New Roman" w:eastAsia="宋体"/>
                <w:color w:val="000000"/>
                <w:sz w:val="18"/>
              </w:rPr>
              <w:t>5.6</w:t>
            </w:r>
          </w:p>
        </w:tc>
      </w:tr>
      <w:tr>
        <w:tc>
          <w:tcPr>
            <w:tcW w:type="dxa" w:w="3041"/>
            <w:vAlign w:val="center"/>
          </w:tcPr>
          <w:p>
            <w:pPr>
              <w:spacing w:line="240" w:lineRule="auto" w:after="0"/>
              <w:jc w:val="center"/>
            </w:pPr>
            <w:r>
              <w:rPr>
                <w:rFonts w:ascii="Times New Roman" w:hAnsi="Times New Roman" w:eastAsia="宋体"/>
                <w:color w:val="000000"/>
                <w:sz w:val="18"/>
              </w:rPr>
              <w:t>民族出版社</w:t>
            </w:r>
          </w:p>
        </w:tc>
        <w:tc>
          <w:tcPr>
            <w:tcW w:type="dxa" w:w="3041"/>
            <w:vAlign w:val="center"/>
          </w:tcPr>
          <w:p>
            <w:pPr>
              <w:spacing w:line="240" w:lineRule="auto" w:after="0"/>
              <w:jc w:val="center"/>
            </w:pPr>
            <w:r>
              <w:rPr>
                <w:rFonts w:ascii="Times New Roman" w:hAnsi="Times New Roman" w:eastAsia="宋体"/>
                <w:color w:val="000000"/>
                <w:sz w:val="18"/>
              </w:rPr>
              <w:t>310</w:t>
            </w:r>
          </w:p>
        </w:tc>
        <w:tc>
          <w:tcPr>
            <w:tcW w:type="dxa" w:w="3041"/>
            <w:vAlign w:val="center"/>
          </w:tcPr>
          <w:p>
            <w:pPr>
              <w:spacing w:line="240" w:lineRule="auto" w:after="0"/>
              <w:jc w:val="center"/>
            </w:pPr>
            <w:r>
              <w:rPr>
                <w:rFonts w:ascii="Times New Roman" w:hAnsi="Times New Roman" w:eastAsia="宋体"/>
                <w:color w:val="000000"/>
                <w:sz w:val="18"/>
              </w:rPr>
              <w:t>4.36</w:t>
            </w:r>
          </w:p>
        </w:tc>
      </w:tr>
      <w:tr>
        <w:tc>
          <w:tcPr>
            <w:tcW w:type="dxa" w:w="3041"/>
            <w:vAlign w:val="center"/>
          </w:tcPr>
          <w:p>
            <w:pPr>
              <w:spacing w:line="240" w:lineRule="auto" w:after="0"/>
              <w:jc w:val="center"/>
            </w:pPr>
            <w:r>
              <w:rPr>
                <w:rFonts w:ascii="Times New Roman" w:hAnsi="Times New Roman" w:eastAsia="宋体"/>
                <w:color w:val="000000"/>
                <w:sz w:val="18"/>
              </w:rPr>
              <w:t>云南人民出版社</w:t>
            </w:r>
          </w:p>
        </w:tc>
        <w:tc>
          <w:tcPr>
            <w:tcW w:type="dxa" w:w="3041"/>
            <w:vAlign w:val="center"/>
          </w:tcPr>
          <w:p>
            <w:pPr>
              <w:spacing w:line="240" w:lineRule="auto" w:after="0"/>
              <w:jc w:val="center"/>
            </w:pPr>
            <w:r>
              <w:rPr>
                <w:rFonts w:ascii="Times New Roman" w:hAnsi="Times New Roman" w:eastAsia="宋体"/>
                <w:color w:val="000000"/>
                <w:sz w:val="18"/>
              </w:rPr>
              <w:t>309</w:t>
            </w:r>
          </w:p>
        </w:tc>
        <w:tc>
          <w:tcPr>
            <w:tcW w:type="dxa" w:w="3041"/>
            <w:vAlign w:val="center"/>
          </w:tcPr>
          <w:p>
            <w:pPr>
              <w:spacing w:line="240" w:lineRule="auto" w:after="0"/>
              <w:jc w:val="center"/>
            </w:pPr>
            <w:r>
              <w:rPr>
                <w:rFonts w:ascii="Times New Roman" w:hAnsi="Times New Roman" w:eastAsia="宋体"/>
                <w:color w:val="000000"/>
                <w:sz w:val="18"/>
              </w:rPr>
              <w:t>4.35</w:t>
            </w:r>
          </w:p>
        </w:tc>
      </w:tr>
      <w:tr>
        <w:tc>
          <w:tcPr>
            <w:tcW w:type="dxa" w:w="3041"/>
            <w:vAlign w:val="center"/>
          </w:tcPr>
          <w:p>
            <w:pPr>
              <w:spacing w:line="240" w:lineRule="auto" w:after="0"/>
              <w:jc w:val="center"/>
            </w:pPr>
            <w:r>
              <w:rPr>
                <w:rFonts w:ascii="Times New Roman" w:hAnsi="Times New Roman" w:eastAsia="宋体"/>
                <w:color w:val="000000"/>
                <w:sz w:val="18"/>
              </w:rPr>
              <w:t>中華書局</w:t>
            </w:r>
          </w:p>
        </w:tc>
        <w:tc>
          <w:tcPr>
            <w:tcW w:type="dxa" w:w="3041"/>
            <w:vAlign w:val="center"/>
          </w:tcPr>
          <w:p>
            <w:pPr>
              <w:spacing w:line="240" w:lineRule="auto" w:after="0"/>
              <w:jc w:val="center"/>
            </w:pPr>
            <w:r>
              <w:rPr>
                <w:rFonts w:ascii="Times New Roman" w:hAnsi="Times New Roman" w:eastAsia="宋体"/>
                <w:color w:val="000000"/>
                <w:sz w:val="18"/>
              </w:rPr>
              <w:t>264</w:t>
            </w:r>
          </w:p>
        </w:tc>
        <w:tc>
          <w:tcPr>
            <w:tcW w:type="dxa" w:w="3041"/>
            <w:vAlign w:val="center"/>
          </w:tcPr>
          <w:p>
            <w:pPr>
              <w:spacing w:line="240" w:lineRule="auto" w:after="0"/>
              <w:jc w:val="center"/>
            </w:pPr>
            <w:r>
              <w:rPr>
                <w:rFonts w:ascii="Times New Roman" w:hAnsi="Times New Roman" w:eastAsia="宋体"/>
                <w:color w:val="000000"/>
                <w:sz w:val="18"/>
              </w:rPr>
              <w:t>3.71</w:t>
            </w:r>
          </w:p>
        </w:tc>
      </w:tr>
      <w:tr>
        <w:tc>
          <w:tcPr>
            <w:tcW w:type="dxa" w:w="3041"/>
            <w:vAlign w:val="center"/>
          </w:tcPr>
          <w:p>
            <w:pPr>
              <w:spacing w:line="240" w:lineRule="auto" w:after="0"/>
              <w:jc w:val="center"/>
            </w:pPr>
            <w:r>
              <w:rPr>
                <w:rFonts w:ascii="Times New Roman" w:hAnsi="Times New Roman" w:eastAsia="宋体"/>
                <w:color w:val="000000"/>
                <w:sz w:val="18"/>
              </w:rPr>
              <w:t>社会科学文献出版社</w:t>
            </w:r>
          </w:p>
        </w:tc>
        <w:tc>
          <w:tcPr>
            <w:tcW w:type="dxa" w:w="3041"/>
            <w:vAlign w:val="center"/>
          </w:tcPr>
          <w:p>
            <w:pPr>
              <w:spacing w:line="240" w:lineRule="auto" w:after="0"/>
              <w:jc w:val="center"/>
            </w:pPr>
            <w:r>
              <w:rPr>
                <w:rFonts w:ascii="Times New Roman" w:hAnsi="Times New Roman" w:eastAsia="宋体"/>
                <w:color w:val="000000"/>
                <w:sz w:val="18"/>
              </w:rPr>
              <w:t>249</w:t>
            </w:r>
          </w:p>
        </w:tc>
        <w:tc>
          <w:tcPr>
            <w:tcW w:type="dxa" w:w="3041"/>
            <w:vAlign w:val="center"/>
          </w:tcPr>
          <w:p>
            <w:pPr>
              <w:spacing w:line="240" w:lineRule="auto" w:after="0"/>
              <w:jc w:val="center"/>
            </w:pPr>
            <w:r>
              <w:rPr>
                <w:rFonts w:ascii="Times New Roman" w:hAnsi="Times New Roman" w:eastAsia="宋体"/>
                <w:color w:val="000000"/>
                <w:sz w:val="18"/>
              </w:rPr>
              <w:t>3.5</w:t>
            </w:r>
          </w:p>
        </w:tc>
      </w:tr>
      <w:tr>
        <w:tc>
          <w:tcPr>
            <w:tcW w:type="dxa" w:w="3041"/>
            <w:vAlign w:val="center"/>
          </w:tcPr>
          <w:p>
            <w:pPr>
              <w:spacing w:line="240" w:lineRule="auto" w:after="0"/>
              <w:jc w:val="center"/>
            </w:pPr>
            <w:r>
              <w:rPr>
                <w:rFonts w:ascii="Times New Roman" w:hAnsi="Times New Roman" w:eastAsia="宋体"/>
                <w:color w:val="000000"/>
                <w:sz w:val="18"/>
              </w:rPr>
              <w:t>甘肅文化出版社</w:t>
            </w:r>
          </w:p>
        </w:tc>
        <w:tc>
          <w:tcPr>
            <w:tcW w:type="dxa" w:w="3041"/>
            <w:vAlign w:val="center"/>
          </w:tcPr>
          <w:p>
            <w:pPr>
              <w:spacing w:line="240" w:lineRule="auto" w:after="0"/>
              <w:jc w:val="center"/>
            </w:pPr>
            <w:r>
              <w:rPr>
                <w:rFonts w:ascii="Times New Roman" w:hAnsi="Times New Roman" w:eastAsia="宋体"/>
                <w:color w:val="000000"/>
                <w:sz w:val="18"/>
              </w:rPr>
              <w:t>235</w:t>
            </w:r>
          </w:p>
        </w:tc>
        <w:tc>
          <w:tcPr>
            <w:tcW w:type="dxa" w:w="3041"/>
            <w:vAlign w:val="center"/>
          </w:tcPr>
          <w:p>
            <w:pPr>
              <w:spacing w:line="240" w:lineRule="auto" w:after="0"/>
              <w:jc w:val="center"/>
            </w:pPr>
            <w:r>
              <w:rPr>
                <w:rFonts w:ascii="Times New Roman" w:hAnsi="Times New Roman" w:eastAsia="宋体"/>
                <w:color w:val="000000"/>
                <w:sz w:val="18"/>
              </w:rPr>
              <w:t>3.31</w:t>
            </w:r>
          </w:p>
        </w:tc>
      </w:tr>
      <w:tr>
        <w:tc>
          <w:tcPr>
            <w:tcW w:type="dxa" w:w="3041"/>
            <w:vAlign w:val="center"/>
          </w:tcPr>
          <w:p>
            <w:pPr>
              <w:spacing w:line="240" w:lineRule="auto" w:after="0"/>
              <w:jc w:val="center"/>
            </w:pPr>
            <w:r>
              <w:rPr>
                <w:rFonts w:ascii="Times New Roman" w:hAnsi="Times New Roman" w:eastAsia="宋体"/>
                <w:color w:val="000000"/>
                <w:sz w:val="18"/>
              </w:rPr>
              <w:t>贵州民族出版社</w:t>
            </w:r>
          </w:p>
        </w:tc>
        <w:tc>
          <w:tcPr>
            <w:tcW w:type="dxa" w:w="3041"/>
            <w:vAlign w:val="center"/>
          </w:tcPr>
          <w:p>
            <w:pPr>
              <w:spacing w:line="240" w:lineRule="auto" w:after="0"/>
              <w:jc w:val="center"/>
            </w:pPr>
            <w:r>
              <w:rPr>
                <w:rFonts w:ascii="Times New Roman" w:hAnsi="Times New Roman" w:eastAsia="宋体"/>
                <w:color w:val="000000"/>
                <w:sz w:val="18"/>
              </w:rPr>
              <w:t>196</w:t>
            </w:r>
          </w:p>
        </w:tc>
        <w:tc>
          <w:tcPr>
            <w:tcW w:type="dxa" w:w="3041"/>
            <w:vAlign w:val="center"/>
          </w:tcPr>
          <w:p>
            <w:pPr>
              <w:spacing w:line="240" w:lineRule="auto" w:after="0"/>
              <w:jc w:val="center"/>
            </w:pPr>
            <w:r>
              <w:rPr>
                <w:rFonts w:ascii="Times New Roman" w:hAnsi="Times New Roman" w:eastAsia="宋体"/>
                <w:color w:val="000000"/>
                <w:sz w:val="18"/>
              </w:rPr>
              <w:t>2.76</w:t>
            </w:r>
          </w:p>
        </w:tc>
      </w:tr>
      <w:tr>
        <w:tc>
          <w:tcPr>
            <w:tcW w:type="dxa" w:w="3041"/>
            <w:vAlign w:val="center"/>
          </w:tcPr>
          <w:p>
            <w:pPr>
              <w:spacing w:line="240" w:lineRule="auto" w:after="0"/>
              <w:jc w:val="center"/>
            </w:pPr>
            <w:r>
              <w:rPr>
                <w:rFonts w:ascii="Times New Roman" w:hAnsi="Times New Roman" w:eastAsia="宋体"/>
                <w:color w:val="000000"/>
                <w:sz w:val="18"/>
              </w:rPr>
              <w:t>国家图书馆出版社</w:t>
            </w:r>
          </w:p>
        </w:tc>
        <w:tc>
          <w:tcPr>
            <w:tcW w:type="dxa" w:w="3041"/>
            <w:vAlign w:val="center"/>
          </w:tcPr>
          <w:p>
            <w:pPr>
              <w:spacing w:line="240" w:lineRule="auto" w:after="0"/>
              <w:jc w:val="center"/>
            </w:pPr>
            <w:r>
              <w:rPr>
                <w:rFonts w:ascii="Times New Roman" w:hAnsi="Times New Roman" w:eastAsia="宋体"/>
                <w:color w:val="000000"/>
                <w:sz w:val="18"/>
              </w:rPr>
              <w:t>152</w:t>
            </w:r>
          </w:p>
        </w:tc>
        <w:tc>
          <w:tcPr>
            <w:tcW w:type="dxa" w:w="3041"/>
            <w:vAlign w:val="center"/>
          </w:tcPr>
          <w:p>
            <w:pPr>
              <w:spacing w:line="240" w:lineRule="auto" w:after="0"/>
              <w:jc w:val="center"/>
            </w:pPr>
            <w:r>
              <w:rPr>
                <w:rFonts w:ascii="Times New Roman" w:hAnsi="Times New Roman" w:eastAsia="宋体"/>
                <w:color w:val="000000"/>
                <w:sz w:val="18"/>
              </w:rPr>
              <w:t>2.14</w:t>
            </w:r>
          </w:p>
        </w:tc>
      </w:tr>
      <w:tr>
        <w:tc>
          <w:tcPr>
            <w:tcW w:type="dxa" w:w="3041"/>
            <w:vAlign w:val="center"/>
          </w:tcPr>
          <w:p>
            <w:pPr>
              <w:spacing w:line="240" w:lineRule="auto" w:after="0"/>
              <w:jc w:val="center"/>
            </w:pPr>
            <w:r>
              <w:rPr>
                <w:rFonts w:ascii="Times New Roman" w:hAnsi="Times New Roman" w:eastAsia="宋体"/>
                <w:color w:val="000000"/>
                <w:sz w:val="18"/>
              </w:rPr>
              <w:t>云南大学出版社</w:t>
            </w:r>
          </w:p>
        </w:tc>
        <w:tc>
          <w:tcPr>
            <w:tcW w:type="dxa" w:w="3041"/>
            <w:vAlign w:val="center"/>
          </w:tcPr>
          <w:p>
            <w:pPr>
              <w:spacing w:line="240" w:lineRule="auto" w:after="0"/>
              <w:jc w:val="center"/>
            </w:pPr>
            <w:r>
              <w:rPr>
                <w:rFonts w:ascii="Times New Roman" w:hAnsi="Times New Roman" w:eastAsia="宋体"/>
                <w:color w:val="000000"/>
                <w:sz w:val="18"/>
              </w:rPr>
              <w:t>139</w:t>
            </w:r>
          </w:p>
        </w:tc>
        <w:tc>
          <w:tcPr>
            <w:tcW w:type="dxa" w:w="3041"/>
            <w:vAlign w:val="center"/>
          </w:tcPr>
          <w:p>
            <w:pPr>
              <w:spacing w:line="240" w:lineRule="auto" w:after="0"/>
              <w:jc w:val="center"/>
            </w:pPr>
            <w:r>
              <w:rPr>
                <w:rFonts w:ascii="Times New Roman" w:hAnsi="Times New Roman" w:eastAsia="宋体"/>
                <w:color w:val="000000"/>
                <w:sz w:val="18"/>
              </w:rPr>
              <w:t>1.96</w:t>
            </w:r>
          </w:p>
        </w:tc>
      </w:tr>
      <w:tr>
        <w:tc>
          <w:tcPr>
            <w:tcW w:type="dxa" w:w="3041"/>
            <w:vAlign w:val="center"/>
          </w:tcPr>
          <w:p>
            <w:pPr>
              <w:spacing w:line="240" w:lineRule="auto" w:after="0"/>
              <w:jc w:val="center"/>
            </w:pPr>
            <w:r>
              <w:rPr>
                <w:rFonts w:ascii="Times New Roman" w:hAnsi="Times New Roman" w:eastAsia="宋体"/>
                <w:color w:val="000000"/>
                <w:sz w:val="18"/>
              </w:rPr>
              <w:t>中央民族大学出版社</w:t>
            </w:r>
          </w:p>
        </w:tc>
        <w:tc>
          <w:tcPr>
            <w:tcW w:type="dxa" w:w="3041"/>
            <w:vAlign w:val="center"/>
          </w:tcPr>
          <w:p>
            <w:pPr>
              <w:spacing w:line="240" w:lineRule="auto" w:after="0"/>
              <w:jc w:val="center"/>
            </w:pPr>
            <w:r>
              <w:rPr>
                <w:rFonts w:ascii="Times New Roman" w:hAnsi="Times New Roman" w:eastAsia="宋体"/>
                <w:color w:val="000000"/>
                <w:sz w:val="18"/>
              </w:rPr>
              <w:t>133</w:t>
            </w:r>
          </w:p>
        </w:tc>
        <w:tc>
          <w:tcPr>
            <w:tcW w:type="dxa" w:w="3041"/>
            <w:vAlign w:val="center"/>
          </w:tcPr>
          <w:p>
            <w:pPr>
              <w:spacing w:line="240" w:lineRule="auto" w:after="0"/>
              <w:jc w:val="center"/>
            </w:pPr>
            <w:r>
              <w:rPr>
                <w:rFonts w:ascii="Times New Roman" w:hAnsi="Times New Roman" w:eastAsia="宋体"/>
                <w:color w:val="000000"/>
                <w:sz w:val="18"/>
              </w:rPr>
              <w:t>1.87</w:t>
            </w:r>
          </w:p>
        </w:tc>
      </w:tr>
      <w:tr>
        <w:tc>
          <w:tcPr>
            <w:tcW w:type="dxa" w:w="3041"/>
            <w:vAlign w:val="center"/>
          </w:tcPr>
          <w:p>
            <w:pPr>
              <w:spacing w:line="240" w:lineRule="auto" w:after="0"/>
              <w:jc w:val="center"/>
            </w:pPr>
            <w:r>
              <w:rPr>
                <w:rFonts w:ascii="Times New Roman" w:hAnsi="Times New Roman" w:eastAsia="宋体"/>
                <w:color w:val="000000"/>
                <w:sz w:val="18"/>
              </w:rPr>
              <w:t>人民出版社</w:t>
            </w:r>
          </w:p>
        </w:tc>
        <w:tc>
          <w:tcPr>
            <w:tcW w:type="dxa" w:w="3041"/>
            <w:vAlign w:val="center"/>
          </w:tcPr>
          <w:p>
            <w:pPr>
              <w:spacing w:line="240" w:lineRule="auto" w:after="0"/>
              <w:jc w:val="center"/>
            </w:pPr>
            <w:r>
              <w:rPr>
                <w:rFonts w:ascii="Times New Roman" w:hAnsi="Times New Roman" w:eastAsia="宋体"/>
                <w:color w:val="000000"/>
                <w:sz w:val="18"/>
              </w:rPr>
              <w:t>116</w:t>
            </w:r>
          </w:p>
        </w:tc>
        <w:tc>
          <w:tcPr>
            <w:tcW w:type="dxa" w:w="3041"/>
            <w:vAlign w:val="center"/>
          </w:tcPr>
          <w:p>
            <w:pPr>
              <w:spacing w:line="240" w:lineRule="auto" w:after="0"/>
              <w:jc w:val="center"/>
            </w:pPr>
            <w:r>
              <w:rPr>
                <w:rFonts w:ascii="Times New Roman" w:hAnsi="Times New Roman" w:eastAsia="宋体"/>
                <w:color w:val="000000"/>
                <w:sz w:val="18"/>
              </w:rPr>
              <w:t>1.63</w:t>
            </w:r>
          </w:p>
        </w:tc>
      </w:tr>
    </w:tbl>
    <w:p>
      <w:pPr>
        <w:spacing w:line="300" w:lineRule="auto" w:before="120" w:after="60"/>
        <w:jc w:val="left"/>
      </w:pPr>
      <w:r>
        <w:rPr>
          <w:rFonts w:ascii="Times New Roman" w:hAnsi="Times New Roman" w:eastAsia="黑体"/>
          <w:b/>
          <w:color w:val="000000"/>
          <w:sz w:val="28"/>
        </w:rPr>
        <w:t>4. CNKI文献回顾与案例定位</w:t>
      </w:r>
    </w:p>
    <w:p>
      <w:pPr>
        <w:spacing w:line="300" w:lineRule="auto" w:after="60"/>
        <w:ind w:firstLine="480"/>
        <w:jc w:val="both"/>
      </w:pPr>
      <w:r>
        <w:rPr>
          <w:rFonts w:ascii="Times New Roman" w:hAnsi="Times New Roman" w:eastAsia="宋体"/>
          <w:b w:val="0"/>
          <w:color w:val="000000"/>
          <w:sz w:val="24"/>
        </w:rPr>
        <w:t>为避免案例分析停留在经验判断，本文结合CNKI可检索到的相关研究进行了简要文献回顾。从研究脉络看，民族高校图书馆相关研究大体可以分为三类。第一类聚焦民族文献资源的搜集、建设与开发利用，强调民族文献是民族高校图书馆形成特色的基础资源，如王晓琼、王缙、王兰英等人的研究。第二类聚焦特色馆藏的形成机制与建设路径，强调特色馆藏应与学校办学定位、优势学科和区域文化资源相结合，如钢山、徐扬等人的研究。第三类则从数字化和新时代职能角度出发，强调特色资源数据库建设、文化传承与共同体建设功能，如祁兴兰和冯云的研究。</w:t>
      </w:r>
    </w:p>
    <w:p>
      <w:pPr>
        <w:spacing w:line="300" w:lineRule="auto" w:after="60"/>
        <w:ind w:firstLine="480"/>
        <w:jc w:val="both"/>
      </w:pPr>
      <w:r>
        <w:rPr>
          <w:rFonts w:ascii="Times New Roman" w:hAnsi="Times New Roman" w:eastAsia="宋体"/>
          <w:b w:val="0"/>
          <w:color w:val="000000"/>
          <w:sz w:val="24"/>
        </w:rPr>
        <w:t>这些研究为本文提供了两方面启发：其一，民族高校图书馆的资源建设研究从来不是一般性的馆藏统计，而是围绕“民族文献”“特色馆藏”“资源开发利用”逐步展开的；其二，已有研究多以经验总结、理论讨论和建设路径为主，缺少基于连续入藏数据的年度动态分析。因此，本文的价值不在于重新证明“民族文献重要”，而在于用五年真实入藏数据说明：民族文献特色馆藏在什么时候扩张、往哪些中图法类别扩张、通过哪些出版来源扩张，以及如何与共同体意识相关资源建设发生关联。</w:t>
      </w:r>
    </w:p>
    <w:p>
      <w:pPr>
        <w:spacing w:line="300" w:lineRule="auto" w:after="60"/>
        <w:jc w:val="center"/>
      </w:pPr>
      <w:r>
        <w:rPr>
          <w:rFonts w:ascii="Times New Roman" w:hAnsi="Times New Roman" w:eastAsia="宋体"/>
          <w:b/>
          <w:color w:val="000000"/>
          <w:sz w:val="21"/>
        </w:rPr>
        <w:t>表8 CNKI相关文献回顾</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line="240" w:lineRule="auto" w:after="0"/>
              <w:jc w:val="center"/>
            </w:pPr>
            <w:r>
              <w:rPr>
                <w:rFonts w:ascii="Times New Roman" w:hAnsi="Times New Roman" w:eastAsia="宋体"/>
                <w:color w:val="000000"/>
                <w:sz w:val="17"/>
              </w:rPr>
              <w:t>作者与年份</w:t>
            </w:r>
          </w:p>
        </w:tc>
        <w:tc>
          <w:tcPr>
            <w:tcW w:type="dxa" w:w="3041"/>
            <w:vAlign w:val="center"/>
          </w:tcPr>
          <w:p>
            <w:pPr>
              <w:spacing w:line="240" w:lineRule="auto" w:after="0"/>
              <w:jc w:val="center"/>
            </w:pPr>
            <w:r>
              <w:rPr>
                <w:rFonts w:ascii="Times New Roman" w:hAnsi="Times New Roman" w:eastAsia="宋体"/>
                <w:color w:val="000000"/>
                <w:sz w:val="17"/>
              </w:rPr>
              <w:t>文献题名</w:t>
            </w:r>
          </w:p>
        </w:tc>
        <w:tc>
          <w:tcPr>
            <w:tcW w:type="dxa" w:w="3041"/>
            <w:vAlign w:val="center"/>
          </w:tcPr>
          <w:p>
            <w:pPr>
              <w:spacing w:line="240" w:lineRule="auto" w:after="0"/>
              <w:jc w:val="center"/>
            </w:pPr>
            <w:r>
              <w:rPr>
                <w:rFonts w:ascii="Times New Roman" w:hAnsi="Times New Roman" w:eastAsia="宋体"/>
                <w:color w:val="000000"/>
                <w:sz w:val="17"/>
              </w:rPr>
              <w:t>可用于本案例的启发</w:t>
            </w:r>
          </w:p>
        </w:tc>
      </w:tr>
      <w:tr>
        <w:tc>
          <w:tcPr>
            <w:tcW w:type="dxa" w:w="3041"/>
            <w:vAlign w:val="center"/>
          </w:tcPr>
          <w:p>
            <w:pPr>
              <w:spacing w:line="240" w:lineRule="auto" w:after="0"/>
              <w:jc w:val="center"/>
            </w:pPr>
            <w:r>
              <w:rPr>
                <w:rFonts w:ascii="Times New Roman" w:hAnsi="Times New Roman" w:eastAsia="宋体"/>
                <w:color w:val="000000"/>
                <w:sz w:val="17"/>
              </w:rPr>
              <w:t>徐东明，冯云，宁沛林（2012）</w:t>
            </w:r>
          </w:p>
        </w:tc>
        <w:tc>
          <w:tcPr>
            <w:tcW w:type="dxa" w:w="3041"/>
            <w:vAlign w:val="center"/>
          </w:tcPr>
          <w:p>
            <w:pPr>
              <w:spacing w:line="240" w:lineRule="auto" w:after="0"/>
              <w:jc w:val="center"/>
            </w:pPr>
            <w:r>
              <w:rPr>
                <w:rFonts w:ascii="Times New Roman" w:hAnsi="Times New Roman" w:eastAsia="宋体"/>
                <w:color w:val="000000"/>
                <w:sz w:val="17"/>
              </w:rPr>
              <w:t>《十年来民族高校图书馆文献资源建设与特色建设研究之回顾与展望》</w:t>
            </w:r>
          </w:p>
        </w:tc>
        <w:tc>
          <w:tcPr>
            <w:tcW w:type="dxa" w:w="3041"/>
            <w:vAlign w:val="center"/>
          </w:tcPr>
          <w:p>
            <w:pPr>
              <w:spacing w:line="240" w:lineRule="auto" w:after="0"/>
              <w:jc w:val="center"/>
            </w:pPr>
            <w:r>
              <w:rPr>
                <w:rFonts w:ascii="Times New Roman" w:hAnsi="Times New Roman" w:eastAsia="宋体"/>
                <w:color w:val="000000"/>
                <w:sz w:val="17"/>
              </w:rPr>
              <w:t>系统回顾民族高校图书馆在民族文献、馆藏建设、特色馆藏和特色数据库方面的研究，指出特色建设是民族高校图书馆的重要研究主线。</w:t>
            </w:r>
          </w:p>
        </w:tc>
      </w:tr>
      <w:tr>
        <w:tc>
          <w:tcPr>
            <w:tcW w:type="dxa" w:w="3041"/>
            <w:vAlign w:val="center"/>
          </w:tcPr>
          <w:p>
            <w:pPr>
              <w:spacing w:line="240" w:lineRule="auto" w:after="0"/>
              <w:jc w:val="center"/>
            </w:pPr>
            <w:r>
              <w:rPr>
                <w:rFonts w:ascii="Times New Roman" w:hAnsi="Times New Roman" w:eastAsia="宋体"/>
                <w:color w:val="000000"/>
                <w:sz w:val="17"/>
              </w:rPr>
              <w:t>王晓琼（2002）</w:t>
            </w:r>
          </w:p>
        </w:tc>
        <w:tc>
          <w:tcPr>
            <w:tcW w:type="dxa" w:w="3041"/>
            <w:vAlign w:val="center"/>
          </w:tcPr>
          <w:p>
            <w:pPr>
              <w:spacing w:line="240" w:lineRule="auto" w:after="0"/>
              <w:jc w:val="center"/>
            </w:pPr>
            <w:r>
              <w:rPr>
                <w:rFonts w:ascii="Times New Roman" w:hAnsi="Times New Roman" w:eastAsia="宋体"/>
                <w:color w:val="000000"/>
                <w:sz w:val="17"/>
              </w:rPr>
              <w:t>《民族高校图书馆民族文献资源的建设与开发利用》</w:t>
            </w:r>
          </w:p>
        </w:tc>
        <w:tc>
          <w:tcPr>
            <w:tcW w:type="dxa" w:w="3041"/>
            <w:vAlign w:val="center"/>
          </w:tcPr>
          <w:p>
            <w:pPr>
              <w:spacing w:line="240" w:lineRule="auto" w:after="0"/>
              <w:jc w:val="center"/>
            </w:pPr>
            <w:r>
              <w:rPr>
                <w:rFonts w:ascii="Times New Roman" w:hAnsi="Times New Roman" w:eastAsia="宋体"/>
                <w:color w:val="000000"/>
                <w:sz w:val="17"/>
              </w:rPr>
              <w:t>提出民族高校图书馆应围绕民族文献的搜集、整理与开发利用形成自身资源特色。</w:t>
            </w:r>
          </w:p>
        </w:tc>
      </w:tr>
      <w:tr>
        <w:tc>
          <w:tcPr>
            <w:tcW w:type="dxa" w:w="3041"/>
            <w:vAlign w:val="center"/>
          </w:tcPr>
          <w:p>
            <w:pPr>
              <w:spacing w:line="240" w:lineRule="auto" w:after="0"/>
              <w:jc w:val="center"/>
            </w:pPr>
            <w:r>
              <w:rPr>
                <w:rFonts w:ascii="Times New Roman" w:hAnsi="Times New Roman" w:eastAsia="宋体"/>
                <w:color w:val="000000"/>
                <w:sz w:val="17"/>
              </w:rPr>
              <w:t>王缙（2003）</w:t>
            </w:r>
          </w:p>
        </w:tc>
        <w:tc>
          <w:tcPr>
            <w:tcW w:type="dxa" w:w="3041"/>
            <w:vAlign w:val="center"/>
          </w:tcPr>
          <w:p>
            <w:pPr>
              <w:spacing w:line="240" w:lineRule="auto" w:after="0"/>
              <w:jc w:val="center"/>
            </w:pPr>
            <w:r>
              <w:rPr>
                <w:rFonts w:ascii="Times New Roman" w:hAnsi="Times New Roman" w:eastAsia="宋体"/>
                <w:color w:val="000000"/>
                <w:sz w:val="17"/>
              </w:rPr>
              <w:t>《民族高校图书馆民族文献建设与开发利用探讨》</w:t>
            </w:r>
          </w:p>
        </w:tc>
        <w:tc>
          <w:tcPr>
            <w:tcW w:type="dxa" w:w="3041"/>
            <w:vAlign w:val="center"/>
          </w:tcPr>
          <w:p>
            <w:pPr>
              <w:spacing w:line="240" w:lineRule="auto" w:after="0"/>
              <w:jc w:val="center"/>
            </w:pPr>
            <w:r>
              <w:rPr>
                <w:rFonts w:ascii="Times New Roman" w:hAnsi="Times New Roman" w:eastAsia="宋体"/>
                <w:color w:val="000000"/>
                <w:sz w:val="17"/>
              </w:rPr>
              <w:t>强调民族文献是民族高校图书馆区别于普通高校图书馆的重要资源基础。</w:t>
            </w:r>
          </w:p>
        </w:tc>
      </w:tr>
      <w:tr>
        <w:tc>
          <w:tcPr>
            <w:tcW w:type="dxa" w:w="3041"/>
            <w:vAlign w:val="center"/>
          </w:tcPr>
          <w:p>
            <w:pPr>
              <w:spacing w:line="240" w:lineRule="auto" w:after="0"/>
              <w:jc w:val="center"/>
            </w:pPr>
            <w:r>
              <w:rPr>
                <w:rFonts w:ascii="Times New Roman" w:hAnsi="Times New Roman" w:eastAsia="宋体"/>
                <w:color w:val="000000"/>
                <w:sz w:val="17"/>
              </w:rPr>
              <w:t>王兰英，李洁（2004）</w:t>
            </w:r>
          </w:p>
        </w:tc>
        <w:tc>
          <w:tcPr>
            <w:tcW w:type="dxa" w:w="3041"/>
            <w:vAlign w:val="center"/>
          </w:tcPr>
          <w:p>
            <w:pPr>
              <w:spacing w:line="240" w:lineRule="auto" w:after="0"/>
              <w:jc w:val="center"/>
            </w:pPr>
            <w:r>
              <w:rPr>
                <w:rFonts w:ascii="Times New Roman" w:hAnsi="Times New Roman" w:eastAsia="宋体"/>
                <w:color w:val="000000"/>
                <w:sz w:val="17"/>
              </w:rPr>
              <w:t>《民族高校图书馆民族文献特色建设》</w:t>
            </w:r>
          </w:p>
        </w:tc>
        <w:tc>
          <w:tcPr>
            <w:tcW w:type="dxa" w:w="3041"/>
            <w:vAlign w:val="center"/>
          </w:tcPr>
          <w:p>
            <w:pPr>
              <w:spacing w:line="240" w:lineRule="auto" w:after="0"/>
              <w:jc w:val="center"/>
            </w:pPr>
            <w:r>
              <w:rPr>
                <w:rFonts w:ascii="Times New Roman" w:hAnsi="Times New Roman" w:eastAsia="宋体"/>
                <w:color w:val="000000"/>
                <w:sz w:val="17"/>
              </w:rPr>
              <w:t>从特色馆藏角度讨论民族文献建设的原则、路径和服务价值。</w:t>
            </w:r>
          </w:p>
        </w:tc>
      </w:tr>
      <w:tr>
        <w:tc>
          <w:tcPr>
            <w:tcW w:type="dxa" w:w="3041"/>
            <w:vAlign w:val="center"/>
          </w:tcPr>
          <w:p>
            <w:pPr>
              <w:spacing w:line="240" w:lineRule="auto" w:after="0"/>
              <w:jc w:val="center"/>
            </w:pPr>
            <w:r>
              <w:rPr>
                <w:rFonts w:ascii="Times New Roman" w:hAnsi="Times New Roman" w:eastAsia="宋体"/>
                <w:color w:val="000000"/>
                <w:sz w:val="17"/>
              </w:rPr>
              <w:t>钢山（2003）</w:t>
            </w:r>
          </w:p>
        </w:tc>
        <w:tc>
          <w:tcPr>
            <w:tcW w:type="dxa" w:w="3041"/>
            <w:vAlign w:val="center"/>
          </w:tcPr>
          <w:p>
            <w:pPr>
              <w:spacing w:line="240" w:lineRule="auto" w:after="0"/>
              <w:jc w:val="center"/>
            </w:pPr>
            <w:r>
              <w:rPr>
                <w:rFonts w:ascii="Times New Roman" w:hAnsi="Times New Roman" w:eastAsia="宋体"/>
                <w:color w:val="000000"/>
                <w:sz w:val="17"/>
              </w:rPr>
              <w:t>《论民族院校图书馆特色馆藏的形成及路径》</w:t>
            </w:r>
          </w:p>
        </w:tc>
        <w:tc>
          <w:tcPr>
            <w:tcW w:type="dxa" w:w="3041"/>
            <w:vAlign w:val="center"/>
          </w:tcPr>
          <w:p>
            <w:pPr>
              <w:spacing w:line="240" w:lineRule="auto" w:after="0"/>
              <w:jc w:val="center"/>
            </w:pPr>
            <w:r>
              <w:rPr>
                <w:rFonts w:ascii="Times New Roman" w:hAnsi="Times New Roman" w:eastAsia="宋体"/>
                <w:color w:val="000000"/>
                <w:sz w:val="17"/>
              </w:rPr>
              <w:t>将特色馆藏形成机制与学校办学定位、学科优势和区域文化资源联系起来。</w:t>
            </w:r>
          </w:p>
        </w:tc>
      </w:tr>
      <w:tr>
        <w:tc>
          <w:tcPr>
            <w:tcW w:type="dxa" w:w="3041"/>
            <w:vAlign w:val="center"/>
          </w:tcPr>
          <w:p>
            <w:pPr>
              <w:spacing w:line="240" w:lineRule="auto" w:after="0"/>
              <w:jc w:val="center"/>
            </w:pPr>
            <w:r>
              <w:rPr>
                <w:rFonts w:ascii="Times New Roman" w:hAnsi="Times New Roman" w:eastAsia="宋体"/>
                <w:color w:val="000000"/>
                <w:sz w:val="17"/>
              </w:rPr>
              <w:t>徐扬（2010）</w:t>
            </w:r>
          </w:p>
        </w:tc>
        <w:tc>
          <w:tcPr>
            <w:tcW w:type="dxa" w:w="3041"/>
            <w:vAlign w:val="center"/>
          </w:tcPr>
          <w:p>
            <w:pPr>
              <w:spacing w:line="240" w:lineRule="auto" w:after="0"/>
              <w:jc w:val="center"/>
            </w:pPr>
            <w:r>
              <w:rPr>
                <w:rFonts w:ascii="Times New Roman" w:hAnsi="Times New Roman" w:eastAsia="宋体"/>
                <w:color w:val="000000"/>
                <w:sz w:val="17"/>
              </w:rPr>
              <w:t>《民族高校图书馆特色馆藏建设刍议》</w:t>
            </w:r>
          </w:p>
        </w:tc>
        <w:tc>
          <w:tcPr>
            <w:tcW w:type="dxa" w:w="3041"/>
            <w:vAlign w:val="center"/>
          </w:tcPr>
          <w:p>
            <w:pPr>
              <w:spacing w:line="240" w:lineRule="auto" w:after="0"/>
              <w:jc w:val="center"/>
            </w:pPr>
            <w:r>
              <w:rPr>
                <w:rFonts w:ascii="Times New Roman" w:hAnsi="Times New Roman" w:eastAsia="宋体"/>
                <w:color w:val="000000"/>
                <w:sz w:val="17"/>
              </w:rPr>
              <w:t>提出民族高校特色馆藏不应停留在收藏层面，而应与服务和利用联动。</w:t>
            </w:r>
          </w:p>
        </w:tc>
      </w:tr>
      <w:tr>
        <w:tc>
          <w:tcPr>
            <w:tcW w:type="dxa" w:w="3041"/>
            <w:vAlign w:val="center"/>
          </w:tcPr>
          <w:p>
            <w:pPr>
              <w:spacing w:line="240" w:lineRule="auto" w:after="0"/>
              <w:jc w:val="center"/>
            </w:pPr>
            <w:r>
              <w:rPr>
                <w:rFonts w:ascii="Times New Roman" w:hAnsi="Times New Roman" w:eastAsia="宋体"/>
                <w:color w:val="000000"/>
                <w:sz w:val="17"/>
              </w:rPr>
              <w:t>祁兴兰（2018）</w:t>
            </w:r>
          </w:p>
        </w:tc>
        <w:tc>
          <w:tcPr>
            <w:tcW w:type="dxa" w:w="3041"/>
            <w:vAlign w:val="center"/>
          </w:tcPr>
          <w:p>
            <w:pPr>
              <w:spacing w:line="240" w:lineRule="auto" w:after="0"/>
              <w:jc w:val="center"/>
            </w:pPr>
            <w:r>
              <w:rPr>
                <w:rFonts w:ascii="Times New Roman" w:hAnsi="Times New Roman" w:eastAsia="宋体"/>
                <w:color w:val="000000"/>
                <w:sz w:val="17"/>
              </w:rPr>
              <w:t>《民族地区高校图书馆特色资源数据库建设现状、问题及对策》</w:t>
            </w:r>
          </w:p>
        </w:tc>
        <w:tc>
          <w:tcPr>
            <w:tcW w:type="dxa" w:w="3041"/>
            <w:vAlign w:val="center"/>
          </w:tcPr>
          <w:p>
            <w:pPr>
              <w:spacing w:line="240" w:lineRule="auto" w:after="0"/>
              <w:jc w:val="center"/>
            </w:pPr>
            <w:r>
              <w:rPr>
                <w:rFonts w:ascii="Times New Roman" w:hAnsi="Times New Roman" w:eastAsia="宋体"/>
                <w:color w:val="000000"/>
                <w:sz w:val="17"/>
              </w:rPr>
              <w:t>将研究重心推进到特色资源数据库建设，强调资源数字化组织和平台化服务。</w:t>
            </w:r>
          </w:p>
        </w:tc>
      </w:tr>
      <w:tr>
        <w:tc>
          <w:tcPr>
            <w:tcW w:type="dxa" w:w="3041"/>
            <w:vAlign w:val="center"/>
          </w:tcPr>
          <w:p>
            <w:pPr>
              <w:spacing w:line="240" w:lineRule="auto" w:after="0"/>
              <w:jc w:val="center"/>
            </w:pPr>
            <w:r>
              <w:rPr>
                <w:rFonts w:ascii="Times New Roman" w:hAnsi="Times New Roman" w:eastAsia="宋体"/>
                <w:color w:val="000000"/>
                <w:sz w:val="17"/>
              </w:rPr>
              <w:t>冯云（2022）</w:t>
            </w:r>
          </w:p>
        </w:tc>
        <w:tc>
          <w:tcPr>
            <w:tcW w:type="dxa" w:w="3041"/>
            <w:vAlign w:val="center"/>
          </w:tcPr>
          <w:p>
            <w:pPr>
              <w:spacing w:line="240" w:lineRule="auto" w:after="0"/>
              <w:jc w:val="center"/>
            </w:pPr>
            <w:r>
              <w:rPr>
                <w:rFonts w:ascii="Times New Roman" w:hAnsi="Times New Roman" w:eastAsia="宋体"/>
                <w:color w:val="000000"/>
                <w:sz w:val="17"/>
              </w:rPr>
              <w:t>《新时代民族地区图书馆职能定位探讨》</w:t>
            </w:r>
          </w:p>
        </w:tc>
        <w:tc>
          <w:tcPr>
            <w:tcW w:type="dxa" w:w="3041"/>
            <w:vAlign w:val="center"/>
          </w:tcPr>
          <w:p>
            <w:pPr>
              <w:spacing w:line="240" w:lineRule="auto" w:after="0"/>
              <w:jc w:val="center"/>
            </w:pPr>
            <w:r>
              <w:rPr>
                <w:rFonts w:ascii="Times New Roman" w:hAnsi="Times New Roman" w:eastAsia="宋体"/>
                <w:color w:val="000000"/>
                <w:sz w:val="17"/>
              </w:rPr>
              <w:t>从新时代民族地区图书馆职能出发，将文化传承、民族团结和共同体建设纳入图书馆使命。</w:t>
            </w:r>
          </w:p>
        </w:tc>
      </w:tr>
      <w:tr>
        <w:tc>
          <w:tcPr>
            <w:tcW w:type="dxa" w:w="3041"/>
            <w:vAlign w:val="center"/>
          </w:tcPr>
          <w:p>
            <w:pPr>
              <w:spacing w:line="240" w:lineRule="auto" w:after="0"/>
              <w:jc w:val="center"/>
            </w:pPr>
            <w:r>
              <w:rPr>
                <w:rFonts w:ascii="Times New Roman" w:hAnsi="Times New Roman" w:eastAsia="宋体"/>
                <w:color w:val="000000"/>
                <w:sz w:val="17"/>
              </w:rPr>
              <w:t>吕桂珍（2000）</w:t>
            </w:r>
          </w:p>
        </w:tc>
        <w:tc>
          <w:tcPr>
            <w:tcW w:type="dxa" w:w="3041"/>
            <w:vAlign w:val="center"/>
          </w:tcPr>
          <w:p>
            <w:pPr>
              <w:spacing w:line="240" w:lineRule="auto" w:after="0"/>
              <w:jc w:val="center"/>
            </w:pPr>
            <w:r>
              <w:rPr>
                <w:rFonts w:ascii="Times New Roman" w:hAnsi="Times New Roman" w:eastAsia="宋体"/>
                <w:color w:val="000000"/>
                <w:sz w:val="17"/>
              </w:rPr>
              <w:t>《民族文献研究述评》</w:t>
            </w:r>
          </w:p>
        </w:tc>
        <w:tc>
          <w:tcPr>
            <w:tcW w:type="dxa" w:w="3041"/>
            <w:vAlign w:val="center"/>
          </w:tcPr>
          <w:p>
            <w:pPr>
              <w:spacing w:line="240" w:lineRule="auto" w:after="0"/>
              <w:jc w:val="center"/>
            </w:pPr>
            <w:r>
              <w:rPr>
                <w:rFonts w:ascii="Times New Roman" w:hAnsi="Times New Roman" w:eastAsia="宋体"/>
                <w:color w:val="000000"/>
                <w:sz w:val="17"/>
              </w:rPr>
              <w:t>从民族文献研究史角度梳理了民族文献范围、类型与利用问题，为后续建设研究提供基础。</w:t>
            </w:r>
          </w:p>
        </w:tc>
      </w:tr>
    </w:tbl>
    <w:p>
      <w:pPr>
        <w:spacing w:line="300" w:lineRule="auto" w:before="120" w:after="60"/>
        <w:jc w:val="left"/>
      </w:pPr>
      <w:r>
        <w:rPr>
          <w:rFonts w:ascii="Times New Roman" w:hAnsi="Times New Roman" w:eastAsia="黑体"/>
          <w:b/>
          <w:color w:val="000000"/>
          <w:sz w:val="28"/>
        </w:rPr>
        <w:t>5. 基于民族特色高校定位的问题诊断</w:t>
      </w:r>
    </w:p>
    <w:p>
      <w:pPr>
        <w:spacing w:line="300" w:lineRule="auto" w:after="60"/>
        <w:ind w:firstLine="480"/>
        <w:jc w:val="both"/>
      </w:pPr>
      <w:r>
        <w:rPr>
          <w:rFonts w:ascii="Times New Roman" w:hAnsi="Times New Roman" w:eastAsia="宋体"/>
          <w:b w:val="0"/>
          <w:color w:val="000000"/>
          <w:sz w:val="24"/>
        </w:rPr>
        <w:t>从总体与聚焦分析相结合的结果看，H大学图书馆当前面临的问题并不只是“馆藏结构是否均衡”，而更具体地表现为三个层面。第一，特色馆藏已经形成规模，但在整体案例叙事中容易被总量分析淹没，导致学校最有辨识度的资源板块没有得到足够突出。第二，民族文献特色馆藏已经出现从传统历史文化文献向共同体意识专题文献延伸的趋势，但这一趋势在资源建设制度、书目组织和课程服务中的转化路径还不够清晰。第三，民族文献阅览、借阅和文库资源虽然各有功能，但在新增节奏上存在波动，说明其建设机制可能仍受项目性采购、专题目录和阶段性投入影响，尚未形成足够稳定的长期规划。</w:t>
      </w:r>
    </w:p>
    <w:p>
      <w:pPr>
        <w:spacing w:line="300" w:lineRule="auto" w:before="120" w:after="60"/>
        <w:jc w:val="left"/>
      </w:pPr>
      <w:r>
        <w:rPr>
          <w:rFonts w:ascii="Times New Roman" w:hAnsi="Times New Roman" w:eastAsia="黑体"/>
          <w:b/>
          <w:color w:val="000000"/>
          <w:sz w:val="28"/>
        </w:rPr>
        <w:t>6. 优化路径</w:t>
      </w:r>
    </w:p>
    <w:p>
      <w:pPr>
        <w:spacing w:line="300" w:lineRule="auto" w:after="60"/>
        <w:ind w:firstLine="480"/>
        <w:jc w:val="both"/>
      </w:pPr>
      <w:r>
        <w:rPr>
          <w:rFonts w:ascii="Times New Roman" w:hAnsi="Times New Roman" w:eastAsia="宋体"/>
          <w:b w:val="0"/>
          <w:color w:val="000000"/>
          <w:sz w:val="24"/>
        </w:rPr>
        <w:t>第一，把“民族文献特色馆藏建设”提升为案例主线和资源建设主线。对于民族特色高校而言，馆藏工作最有竞争力的地方不在于与综合性大学比拼总量，而在于能否围绕民族文献、民族文化和民族学科持续构建资源优势。后续案例写作和馆藏建设规划都应把这一点置于更中心位置。</w:t>
      </w:r>
    </w:p>
    <w:p>
      <w:pPr>
        <w:spacing w:line="300" w:lineRule="auto" w:after="60"/>
        <w:ind w:firstLine="480"/>
        <w:jc w:val="both"/>
      </w:pPr>
      <w:r>
        <w:rPr>
          <w:rFonts w:ascii="Times New Roman" w:hAnsi="Times New Roman" w:eastAsia="宋体"/>
          <w:b w:val="0"/>
          <w:color w:val="000000"/>
          <w:sz w:val="24"/>
        </w:rPr>
        <w:t>第二，建立“总体馆藏—特色馆藏—专题资源”三级分析框架。总体馆藏用于观察全馆结构迁移，特色馆藏用于体现学校个性，专题资源用于承接共同体意识教育、民族学科研究和文化传承任务。这样可以避免特色馆藏在全馆统计中被稀释。</w:t>
      </w:r>
    </w:p>
    <w:p>
      <w:pPr>
        <w:spacing w:line="300" w:lineRule="auto" w:after="60"/>
        <w:ind w:firstLine="480"/>
        <w:jc w:val="both"/>
      </w:pPr>
      <w:r>
        <w:rPr>
          <w:rFonts w:ascii="Times New Roman" w:hAnsi="Times New Roman" w:eastAsia="宋体"/>
          <w:b w:val="0"/>
          <w:color w:val="000000"/>
          <w:sz w:val="24"/>
        </w:rPr>
        <w:t>第三，围绕民族文献特色馆藏建立更细的中图法监测体系。除继续维持K类历史地理基础优势外，还应关注I类文学、J类艺术、C类社会科学总论等类别的变化，特别是共同体意识相关文献、民族文化研究文献和文艺资料的持续补充情况。</w:t>
      </w:r>
    </w:p>
    <w:p>
      <w:pPr>
        <w:spacing w:line="300" w:lineRule="auto" w:after="60"/>
        <w:ind w:firstLine="480"/>
        <w:jc w:val="both"/>
      </w:pPr>
      <w:r>
        <w:rPr>
          <w:rFonts w:ascii="Times New Roman" w:hAnsi="Times New Roman" w:eastAsia="宋体"/>
          <w:b w:val="0"/>
          <w:color w:val="000000"/>
          <w:sz w:val="24"/>
        </w:rPr>
        <w:t>第四，将特色馆藏建设与课程、科研和育人结合起来。2025年新增中出现的共同体意识历史文献影印集刊说明资源建设已经开始主动对接新时代民族工作主线。后续可以进一步围绕“中华民族共同体概论”“民族学”“中国少数民族语言文学”“民族艺术”等课程和研究方向建立专题书目与导读服务。</w:t>
      </w:r>
    </w:p>
    <w:p>
      <w:pPr>
        <w:spacing w:line="300" w:lineRule="auto" w:after="60"/>
        <w:ind w:firstLine="480"/>
        <w:jc w:val="both"/>
      </w:pPr>
      <w:r>
        <w:rPr>
          <w:rFonts w:ascii="Times New Roman" w:hAnsi="Times New Roman" w:eastAsia="宋体"/>
          <w:b w:val="0"/>
          <w:color w:val="000000"/>
          <w:sz w:val="24"/>
        </w:rPr>
        <w:t>第五，补强数字化与专题数据库建设。CNKI相关研究已经指出，民族高校图书馆的特色资源建设不应停留在收藏层面，而应走向数据库化、知识组织化和服务平台化。H大学若能将民族文献特色馆藏进一步做成专题数据库、导读索引和知识导航，其资源优势会更容易转化为学科优势和社会影响力。</w:t>
      </w:r>
    </w:p>
    <w:p>
      <w:pPr>
        <w:spacing w:line="300" w:lineRule="auto" w:before="120" w:after="60"/>
        <w:jc w:val="left"/>
      </w:pPr>
      <w:r>
        <w:rPr>
          <w:rFonts w:ascii="Times New Roman" w:hAnsi="Times New Roman" w:eastAsia="黑体"/>
          <w:b/>
          <w:color w:val="000000"/>
          <w:sz w:val="28"/>
        </w:rPr>
        <w:t>7. 结语</w:t>
      </w:r>
    </w:p>
    <w:p>
      <w:pPr>
        <w:spacing w:line="300" w:lineRule="auto" w:after="60"/>
        <w:ind w:firstLine="480"/>
        <w:jc w:val="both"/>
      </w:pPr>
      <w:r>
        <w:rPr>
          <w:rFonts w:ascii="Times New Roman" w:hAnsi="Times New Roman" w:eastAsia="宋体"/>
          <w:b w:val="0"/>
          <w:color w:val="000000"/>
          <w:sz w:val="24"/>
        </w:rPr>
        <w:t>如果仅从全馆新增馆藏规模和一般中图法结构变化来看，H大学图书馆的五年馆藏建设能够得到一个较完整但偏通用的结论；而当分析进一步聚焦到民族文献特色馆藏时，民族特色高校的资源建设逻辑才真正显现出来。数据表明，民族文献特色馆藏不仅具有相当规模，而且在价格、出版来源、学科结构和专题资源投入上都表现出与普通馆藏不同的建设方向。尤其是共同体意识相关历史文献的引入，意味着H大学图书馆正在把传统民族文献积累，进一步转化为服务新时代民族工作的资源优势。因此，下一步最值得深入的，不是继续扩大一般馆藏总量，而是围绕民族文献特色馆藏建立更清晰的长期建设与服务机制。</w:t>
      </w:r>
    </w:p>
    <w:p>
      <w:pPr>
        <w:spacing w:line="300" w:lineRule="auto" w:before="120" w:after="60"/>
        <w:jc w:val="left"/>
      </w:pPr>
      <w:r>
        <w:rPr>
          <w:rFonts w:ascii="Times New Roman" w:hAnsi="Times New Roman" w:eastAsia="黑体"/>
          <w:b/>
          <w:color w:val="000000"/>
          <w:sz w:val="28"/>
        </w:rPr>
        <w:t>参考文献</w:t>
      </w:r>
    </w:p>
    <w:p>
      <w:pPr>
        <w:spacing w:line="300" w:lineRule="auto" w:after="60"/>
        <w:jc w:val="both"/>
      </w:pPr>
      <w:r>
        <w:rPr>
          <w:rFonts w:ascii="Times New Roman" w:hAnsi="Times New Roman" w:eastAsia="宋体"/>
          <w:b w:val="0"/>
          <w:color w:val="000000"/>
          <w:sz w:val="24"/>
        </w:rPr>
        <w:t>[1] 徐东明, 冯云, 宁沛林. 十年来民族高校图书馆文献资源建设与特色建设研究之回顾与展望[J]. 西藏民族学院学报(哲学社会科学版), 2012, 33(04):128-133.</w:t>
      </w:r>
    </w:p>
    <w:p>
      <w:pPr>
        <w:spacing w:line="300" w:lineRule="auto" w:after="60"/>
        <w:jc w:val="both"/>
      </w:pPr>
      <w:r>
        <w:rPr>
          <w:rFonts w:ascii="Times New Roman" w:hAnsi="Times New Roman" w:eastAsia="宋体"/>
          <w:b w:val="0"/>
          <w:color w:val="000000"/>
          <w:sz w:val="24"/>
        </w:rPr>
        <w:t>[2] 王晓琼. 民族高校图书馆民族文献资源的建设与开发利用[J]. 图书情报知识, 2002(01).</w:t>
      </w:r>
    </w:p>
    <w:p>
      <w:pPr>
        <w:spacing w:line="300" w:lineRule="auto" w:after="60"/>
        <w:jc w:val="both"/>
      </w:pPr>
      <w:r>
        <w:rPr>
          <w:rFonts w:ascii="Times New Roman" w:hAnsi="Times New Roman" w:eastAsia="宋体"/>
          <w:b w:val="0"/>
          <w:color w:val="000000"/>
          <w:sz w:val="24"/>
        </w:rPr>
        <w:t>[3] 王缙. 民族高校图书馆民族文献建设与开发利用探讨[J]. 西南民族大学学报(人文社科版), 2003(12).</w:t>
      </w:r>
    </w:p>
    <w:p>
      <w:pPr>
        <w:spacing w:line="300" w:lineRule="auto" w:after="60"/>
        <w:jc w:val="both"/>
      </w:pPr>
      <w:r>
        <w:rPr>
          <w:rFonts w:ascii="Times New Roman" w:hAnsi="Times New Roman" w:eastAsia="宋体"/>
          <w:b w:val="0"/>
          <w:color w:val="000000"/>
          <w:sz w:val="24"/>
        </w:rPr>
        <w:t>[4] 王兰英, 李洁. 民族高校图书馆民族文献特色建设[J]. 图书馆理论与实践, 2004(05).</w:t>
      </w:r>
    </w:p>
    <w:p>
      <w:pPr>
        <w:spacing w:line="300" w:lineRule="auto" w:after="60"/>
        <w:jc w:val="both"/>
      </w:pPr>
      <w:r>
        <w:rPr>
          <w:rFonts w:ascii="Times New Roman" w:hAnsi="Times New Roman" w:eastAsia="宋体"/>
          <w:b w:val="0"/>
          <w:color w:val="000000"/>
          <w:sz w:val="24"/>
        </w:rPr>
        <w:t>[5] 钢山. 论民族院校图书馆特色馆藏的形成及路径[J]. 图书馆学研究, 2003(08).</w:t>
      </w:r>
    </w:p>
    <w:p>
      <w:pPr>
        <w:spacing w:line="300" w:lineRule="auto" w:after="60"/>
        <w:jc w:val="both"/>
      </w:pPr>
      <w:r>
        <w:rPr>
          <w:rFonts w:ascii="Times New Roman" w:hAnsi="Times New Roman" w:eastAsia="宋体"/>
          <w:b w:val="0"/>
          <w:color w:val="000000"/>
          <w:sz w:val="24"/>
        </w:rPr>
        <w:t>[6] 徐扬. 民族高校图书馆特色馆藏建设刍议[J]. 内蒙古科技与经济, 2010(15).</w:t>
      </w:r>
    </w:p>
    <w:p>
      <w:pPr>
        <w:spacing w:line="300" w:lineRule="auto" w:after="60"/>
        <w:jc w:val="both"/>
      </w:pPr>
      <w:r>
        <w:rPr>
          <w:rFonts w:ascii="Times New Roman" w:hAnsi="Times New Roman" w:eastAsia="宋体"/>
          <w:b w:val="0"/>
          <w:color w:val="000000"/>
          <w:sz w:val="24"/>
        </w:rPr>
        <w:t>[7] 祁兴兰. 民族地区高校图书馆特色资源数据库建设现状、问题及对策[J]. 图书情报工作, 2018, 62(16):111-119. DOI:10.13266/j.issn.0252-3116.2018.16.013.</w:t>
      </w:r>
    </w:p>
    <w:p>
      <w:pPr>
        <w:spacing w:line="300" w:lineRule="auto" w:after="60"/>
        <w:jc w:val="both"/>
      </w:pPr>
      <w:r>
        <w:rPr>
          <w:rFonts w:ascii="Times New Roman" w:hAnsi="Times New Roman" w:eastAsia="宋体"/>
          <w:b w:val="0"/>
          <w:color w:val="000000"/>
          <w:sz w:val="24"/>
        </w:rPr>
        <w:t>[8] 冯云. 新时代民族地区图书馆职能定位探讨[J]. 西藏民族大学学报(哲学社会科学版), 2022, 43(04):134-139.</w:t>
      </w:r>
    </w:p>
    <w:p>
      <w:pPr>
        <w:spacing w:line="300" w:lineRule="auto" w:after="60"/>
        <w:jc w:val="both"/>
      </w:pPr>
      <w:r>
        <w:rPr>
          <w:rFonts w:ascii="Times New Roman" w:hAnsi="Times New Roman" w:eastAsia="宋体"/>
          <w:b w:val="0"/>
          <w:color w:val="000000"/>
          <w:sz w:val="24"/>
        </w:rPr>
        <w:t>[9] 吕桂珍. 民族文献研究述评[J]. 西藏民族学院学报(哲学社会科学版), 2000(03):28-33+83.</w:t>
      </w:r>
    </w:p>
    <w:p>
      <w:pPr>
        <w:spacing w:line="300" w:lineRule="auto" w:after="60"/>
        <w:jc w:val="both"/>
      </w:pPr>
      <w:r>
        <w:rPr>
          <w:rFonts w:ascii="Times New Roman" w:hAnsi="Times New Roman" w:eastAsia="宋体"/>
          <w:b w:val="0"/>
          <w:color w:val="000000"/>
          <w:sz w:val="24"/>
        </w:rPr>
        <w:t>[10] H大学图书馆. 五年馆藏.xlsx[Z].</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