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r>
        <w:rPr/>
        <w:t>ASM Vision</w:t>
      </w:r>
    </w:p>
    <w:p>
      <w:pPr>
        <w:pStyle w:val="Normal"/>
        <w:rPr/>
      </w:pPr>
      <w:r>
        <w:rPr/>
        <w:t>Turning telemetry into understanding</w:t>
      </w:r>
    </w:p>
    <w:p>
      <w:pPr>
        <w:pStyle w:val="Heading2"/>
        <w:rPr/>
      </w:pPr>
      <w:r>
        <w:rPr/>
        <w:t>Purpose</w:t>
      </w:r>
    </w:p>
    <w:p>
      <w:pPr>
        <w:pStyle w:val="FirstParagraph"/>
        <w:rPr/>
      </w:pPr>
      <w:r>
        <w:rPr/>
        <w:t>ASM exists to transform telemetry into understandable, trustworthy, and actionable engineering knowledge.</w:t>
      </w:r>
    </w:p>
    <w:p>
      <w:pPr>
        <w:pStyle w:val="BodyText"/>
        <w:rPr/>
      </w:pPr>
      <w:r>
        <w:rPr/>
        <w:t>Observability without confidence is just telemetry.</w:t>
      </w:r>
    </w:p>
    <w:p>
      <w:pPr>
        <w:pStyle w:val="BodyText"/>
        <w:rPr/>
      </w:pPr>
      <w:r>
        <w:rPr/>
        <w:t>Rather than simply collecting performance data, ASM is designed to reduce uncertainty by providing transparent, explainable synthetic monitoring of real user journeys.</w:t>
      </w:r>
    </w:p>
    <w:p>
      <w:pPr>
        <w:pStyle w:val="BodyText"/>
        <w:rPr/>
      </w:pPr>
      <w:r>
        <w:rPr/>
        <w:t>Every metric produced by ASM should contribute to a clear operational story, enabling engineers, system administrators, developers, and leadership to make informed decisions with confidence.</w:t>
      </w:r>
    </w:p>
    <w:p>
      <w:pPr>
        <w:pStyle w:val="Normal"/>
        <w:rPr/>
      </w:pPr>
      <w:bookmarkStart w:id="0" w:name="asm-vision"/>
      <w:bookmarkStart w:id="1" w:name="purpose"/>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0"/>
      <w:bookmarkEnd w:id="1"/>
    </w:p>
    <w:p>
      <w:pPr>
        <w:pStyle w:val="Heading1"/>
        <w:rPr/>
      </w:pPr>
      <w:r>
        <w:rPr/>
        <w:t>Vision Statement</w:t>
      </w:r>
    </w:p>
    <w:p>
      <w:pPr>
        <w:pStyle w:val="FirstParagraph"/>
        <w:rPr/>
      </w:pPr>
      <w:r>
        <w:rPr/>
        <w:t>To build the most trusted synthetic monitoring platform for enterprise applications by prioritizing transparency, explainability, operational value, and engineering excellence.</w:t>
      </w:r>
    </w:p>
    <w:p>
      <w:pPr>
        <w:pStyle w:val="BodyText"/>
        <w:rPr/>
      </w:pPr>
      <w:r>
        <w:rPr/>
        <w:t>ASM measures more than application performance.</w:t>
      </w:r>
    </w:p>
    <w:p>
      <w:pPr>
        <w:pStyle w:val="BodyText"/>
        <w:rPr/>
      </w:pPr>
      <w:r>
        <w:rPr/>
        <w:t>ASM also measures the health, reliability, and confidence of the monitoring platform itself.</w:t>
      </w:r>
    </w:p>
    <w:p>
      <w:pPr>
        <w:pStyle w:val="BodyText"/>
        <w:rPr/>
      </w:pPr>
      <w:r>
        <w:rPr/>
        <w:t>When ASM reports a result, users should understand:</w:t>
      </w:r>
    </w:p>
    <w:p>
      <w:pPr>
        <w:pStyle w:val="Compact"/>
        <w:numPr>
          <w:ilvl w:val="0"/>
          <w:numId w:val="1"/>
        </w:numPr>
        <w:rPr/>
      </w:pPr>
      <w:r>
        <w:rPr/>
        <w:t>What was measured.</w:t>
      </w:r>
    </w:p>
    <w:p>
      <w:pPr>
        <w:pStyle w:val="Compact"/>
        <w:numPr>
          <w:ilvl w:val="0"/>
          <w:numId w:val="1"/>
        </w:numPr>
        <w:rPr/>
      </w:pPr>
      <w:r>
        <w:rPr/>
        <w:t>How it was measured.</w:t>
      </w:r>
    </w:p>
    <w:p>
      <w:pPr>
        <w:pStyle w:val="Compact"/>
        <w:numPr>
          <w:ilvl w:val="0"/>
          <w:numId w:val="1"/>
        </w:numPr>
        <w:rPr/>
      </w:pPr>
      <w:r>
        <w:rPr/>
        <w:t>Why it matters.</w:t>
      </w:r>
    </w:p>
    <w:p>
      <w:pPr>
        <w:pStyle w:val="Compact"/>
        <w:numPr>
          <w:ilvl w:val="0"/>
          <w:numId w:val="1"/>
        </w:numPr>
        <w:rPr/>
      </w:pPr>
      <w:r>
        <w:rPr/>
        <w:t>How much confidence should be placed in the result.</w:t>
      </w:r>
    </w:p>
    <w:p>
      <w:pPr>
        <w:pStyle w:val="Compact"/>
        <w:numPr>
          <w:ilvl w:val="0"/>
          <w:numId w:val="1"/>
        </w:numPr>
        <w:rPr/>
      </w:pPr>
      <w:r>
        <w:rPr/>
        <w:t>Whether the monitoring platform itself was operating normally during the measurement.</w:t>
      </w:r>
    </w:p>
    <w:p>
      <w:pPr>
        <w:pStyle w:val="Normal"/>
        <w:rPr/>
      </w:pPr>
      <w:bookmarkStart w:id="2" w:name="vision-statement"/>
      <w:r>
        <w:rPr/>
        <mc:AlternateContent>
          <mc:Choice Requires="wps">
            <w:drawing>
              <wp:inline distT="0" distB="0" distL="0" distR="0">
                <wp:extent cx="5943600" cy="19050"/>
                <wp:effectExtent l="0" t="0" r="0" b="0"/>
                <wp:docPr id="2" name="Shape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
    </w:p>
    <w:p>
      <w:pPr>
        <w:pStyle w:val="Heading1"/>
        <w:rPr/>
      </w:pPr>
      <w:r>
        <w:rPr/>
        <w:t>Mission</w:t>
      </w:r>
    </w:p>
    <w:p>
      <w:pPr>
        <w:pStyle w:val="FirstParagraph"/>
        <w:rPr/>
      </w:pPr>
      <w:r>
        <w:rPr/>
        <w:t>ASM exists to help organizations answer operational questions quickly, accurately, and confidently.</w:t>
      </w:r>
    </w:p>
    <w:p>
      <w:pPr>
        <w:pStyle w:val="BodyText"/>
        <w:rPr/>
      </w:pPr>
      <w:r>
        <w:rPr/>
        <w:t>Instead of forcing engineers to spend time validating monitoring data, ASM should provide the evidence necessary to understand system behavior, identify the likely cause of performance changes, and determine the appropriate course of action.</w:t>
      </w:r>
    </w:p>
    <w:p>
      <w:pPr>
        <w:pStyle w:val="BodyText"/>
        <w:rPr/>
      </w:pPr>
      <w:r>
        <w:rPr/>
        <w:t>The goal is not simply to detect issues.</w:t>
      </w:r>
    </w:p>
    <w:p>
      <w:pPr>
        <w:pStyle w:val="BodyText"/>
        <w:rPr/>
      </w:pPr>
      <w:r>
        <w:rPr/>
        <w:t>The goal is to shorten the time between observation and understanding.</w:t>
      </w:r>
    </w:p>
    <w:p>
      <w:pPr>
        <w:pStyle w:val="Normal"/>
        <w:rPr/>
      </w:pPr>
      <w:bookmarkStart w:id="3" w:name="mission"/>
      <w:r>
        <w:rPr/>
        <mc:AlternateContent>
          <mc:Choice Requires="wps">
            <w:drawing>
              <wp:inline distT="0" distB="0" distL="0" distR="0">
                <wp:extent cx="5943600" cy="19050"/>
                <wp:effectExtent l="0" t="0" r="0" b="0"/>
                <wp:docPr id="3" name="Shape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3"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
    </w:p>
    <w:p>
      <w:pPr>
        <w:pStyle w:val="Heading1"/>
        <w:rPr/>
      </w:pPr>
      <w:r>
        <w:rPr/>
        <w:t>Guiding Philosophy</w:t>
      </w:r>
    </w:p>
    <w:p>
      <w:pPr>
        <w:pStyle w:val="FirstParagraph"/>
        <w:rPr/>
      </w:pPr>
      <w:r>
        <w:rPr/>
        <w:t>ASM is built on a simple belief:</w:t>
      </w:r>
    </w:p>
    <w:p>
      <w:pPr>
        <w:pStyle w:val="BlockText"/>
        <w:rPr/>
      </w:pPr>
      <w:r>
        <w:rPr>
          <w:b/>
          <w:bCs/>
        </w:rPr>
        <w:t>Observability without confidence is just telemetry.</w:t>
      </w:r>
    </w:p>
    <w:p>
      <w:pPr>
        <w:pStyle w:val="Normal"/>
        <w:rPr/>
      </w:pPr>
      <w:r>
        <w:rPr/>
        <w:t>The data needs to tell a story</w:t>
      </w:r>
    </w:p>
    <w:p>
      <w:pPr>
        <w:pStyle w:val="FirstParagraph"/>
        <w:rPr/>
      </w:pPr>
      <w:r>
        <w:rPr/>
        <w:t>Collecting data is easy, building trust in that data requires transparency.</w:t>
      </w:r>
    </w:p>
    <w:p>
      <w:pPr>
        <w:pStyle w:val="BodyText"/>
        <w:rPr/>
      </w:pPr>
      <w:r>
        <w:rPr/>
        <w:t>Every measurement should be explainable.</w:t>
      </w:r>
    </w:p>
    <w:p>
      <w:pPr>
        <w:pStyle w:val="BodyText"/>
        <w:rPr/>
      </w:pPr>
      <w:r>
        <w:rPr/>
        <w:t>Every assumption should be documented.</w:t>
      </w:r>
    </w:p>
    <w:p>
      <w:pPr>
        <w:pStyle w:val="BodyText"/>
        <w:rPr/>
      </w:pPr>
      <w:r>
        <w:rPr/>
        <w:t>Every limitation should be acknowledged.</w:t>
      </w:r>
    </w:p>
    <w:p>
      <w:pPr>
        <w:pStyle w:val="BodyText"/>
        <w:rPr/>
      </w:pPr>
      <w:r>
        <w:rPr/>
        <w:t>Every reduction in confidence should be accompanied by a reason.</w:t>
      </w:r>
    </w:p>
    <w:p>
      <w:pPr>
        <w:pStyle w:val="BodyText"/>
        <w:rPr/>
      </w:pPr>
      <w:r>
        <w:rPr/>
        <w:t>Every document should earn its length.</w:t>
      </w:r>
    </w:p>
    <w:p>
      <w:pPr>
        <w:pStyle w:val="Normal"/>
        <w:rPr/>
      </w:pPr>
      <w:bookmarkStart w:id="4" w:name="guiding-philosophy"/>
      <w:r>
        <w:rPr/>
        <mc:AlternateContent>
          <mc:Choice Requires="wps">
            <w:drawing>
              <wp:inline distT="0" distB="0" distL="0" distR="0">
                <wp:extent cx="5943600" cy="19050"/>
                <wp:effectExtent l="0" t="0" r="0" b="0"/>
                <wp:docPr id="4" name="Shape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4"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4"/>
    </w:p>
    <w:p>
      <w:pPr>
        <w:pStyle w:val="Heading1"/>
        <w:rPr/>
      </w:pPr>
      <w:r>
        <w:rPr/>
        <w:t>Core Objectives</w:t>
      </w:r>
    </w:p>
    <w:p>
      <w:pPr>
        <w:pStyle w:val="FirstParagraph"/>
        <w:rPr/>
      </w:pPr>
      <w:r>
        <w:rPr/>
        <w:t>ASM strives to:</w:t>
      </w:r>
    </w:p>
    <w:p>
      <w:pPr>
        <w:pStyle w:val="Compact"/>
        <w:numPr>
          <w:ilvl w:val="0"/>
          <w:numId w:val="29"/>
        </w:numPr>
        <w:rPr/>
      </w:pPr>
      <w:r>
        <w:rPr/>
        <w:t>Produce measurements that engineers can trust.</w:t>
      </w:r>
    </w:p>
    <w:p>
      <w:pPr>
        <w:pStyle w:val="Compact"/>
        <w:numPr>
          <w:ilvl w:val="0"/>
          <w:numId w:val="30"/>
        </w:numPr>
        <w:rPr/>
      </w:pPr>
      <w:r>
        <w:rPr/>
        <w:t>Reduce uncertainty during troubleshooting.</w:t>
      </w:r>
    </w:p>
    <w:p>
      <w:pPr>
        <w:pStyle w:val="Compact"/>
        <w:numPr>
          <w:ilvl w:val="0"/>
          <w:numId w:val="31"/>
        </w:numPr>
        <w:rPr/>
      </w:pPr>
      <w:r>
        <w:rPr/>
        <w:t>Tell a coherent operational story through its metrics.</w:t>
      </w:r>
    </w:p>
    <w:p>
      <w:pPr>
        <w:pStyle w:val="Compact"/>
        <w:numPr>
          <w:ilvl w:val="0"/>
          <w:numId w:val="32"/>
        </w:numPr>
        <w:rPr/>
      </w:pPr>
      <w:r>
        <w:rPr/>
        <w:t>Monitor both the application and the monitoring platform itself.</w:t>
      </w:r>
    </w:p>
    <w:p>
      <w:pPr>
        <w:pStyle w:val="Compact"/>
        <w:numPr>
          <w:ilvl w:val="0"/>
          <w:numId w:val="33"/>
        </w:numPr>
        <w:rPr/>
      </w:pPr>
      <w:r>
        <w:rPr/>
        <w:t>Provide documentation that explains every significant metric and capability.</w:t>
      </w:r>
    </w:p>
    <w:p>
      <w:pPr>
        <w:pStyle w:val="Compact"/>
        <w:numPr>
          <w:ilvl w:val="0"/>
          <w:numId w:val="34"/>
        </w:numPr>
        <w:rPr/>
      </w:pPr>
      <w:r>
        <w:rPr/>
      </w:r>
    </w:p>
    <w:p>
      <w:pPr>
        <w:pStyle w:val="Compact"/>
        <w:numPr>
          <w:ilvl w:val="0"/>
          <w:numId w:val="35"/>
        </w:numPr>
        <w:rPr/>
      </w:pPr>
      <w:r>
        <w:rPr/>
        <w:t>Remain simple to deploy, configure, operate, and maintain.</w:t>
      </w:r>
    </w:p>
    <w:p>
      <w:pPr>
        <w:pStyle w:val="Compact"/>
        <w:numPr>
          <w:ilvl w:val="0"/>
          <w:numId w:val="36"/>
        </w:numPr>
        <w:rPr/>
      </w:pPr>
      <w:r>
        <w:rPr/>
        <w:t>Be extensible enough to support new applications, journeys, and environments without requiring architectural redesign.</w:t>
      </w:r>
    </w:p>
    <w:p>
      <w:pPr>
        <w:pStyle w:val="BodyText"/>
        <w:numPr>
          <w:ilvl w:val="0"/>
          <w:numId w:val="37"/>
        </w:numPr>
        <w:rPr/>
      </w:pPr>
      <w:r>
        <w:rPr/>
        <w:t>Present information in a way that reduces cognitive effort and increases understanding.</w:t>
      </w:r>
    </w:p>
    <w:p>
      <w:pPr>
        <w:pStyle w:val="BodyText"/>
        <w:numPr>
          <w:ilvl w:val="0"/>
          <w:numId w:val="38"/>
        </w:numPr>
        <w:rPr/>
      </w:pPr>
      <w:r>
        <w:rPr/>
        <w:t>Information should be understandable by its intended audience without unnecessary technical barriers.</w:t>
      </w:r>
    </w:p>
    <w:p>
      <w:pPr>
        <w:pStyle w:val="Normal"/>
        <w:rPr/>
      </w:pPr>
      <w:bookmarkStart w:id="5" w:name="core-objectives"/>
      <w:r>
        <w:rPr/>
        <mc:AlternateContent>
          <mc:Choice Requires="wps">
            <w:drawing>
              <wp:inline distT="0" distB="0" distL="0" distR="0">
                <wp:extent cx="5943600" cy="19050"/>
                <wp:effectExtent l="0" t="0" r="0" b="0"/>
                <wp:docPr id="5" name="Shape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5"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5"/>
    </w:p>
    <w:p>
      <w:pPr>
        <w:pStyle w:val="Heading1"/>
        <w:rPr/>
      </w:pPr>
      <w:r>
        <w:rPr/>
        <w:t>Engineering Goals</w:t>
      </w:r>
    </w:p>
    <w:p>
      <w:pPr>
        <w:pStyle w:val="FirstParagraph"/>
        <w:rPr/>
      </w:pPr>
      <w:r>
        <w:rPr/>
        <w:t>Every engineering decision should support one or more of the following goals:</w:t>
      </w:r>
    </w:p>
    <w:p>
      <w:pPr>
        <w:pStyle w:val="Compact"/>
        <w:numPr>
          <w:ilvl w:val="0"/>
          <w:numId w:val="39"/>
        </w:numPr>
        <w:rPr/>
      </w:pPr>
      <w:r>
        <w:rPr/>
        <w:t>Increase confidence.</w:t>
      </w:r>
    </w:p>
    <w:p>
      <w:pPr>
        <w:pStyle w:val="Compact"/>
        <w:numPr>
          <w:ilvl w:val="0"/>
          <w:numId w:val="40"/>
        </w:numPr>
        <w:rPr/>
      </w:pPr>
      <w:r>
        <w:rPr/>
        <w:t>Improve transparency.</w:t>
      </w:r>
    </w:p>
    <w:p>
      <w:pPr>
        <w:pStyle w:val="Compact"/>
        <w:numPr>
          <w:ilvl w:val="0"/>
          <w:numId w:val="41"/>
        </w:numPr>
        <w:rPr/>
      </w:pPr>
      <w:r>
        <w:rPr/>
        <w:t>Reduce ambiguity.</w:t>
      </w:r>
    </w:p>
    <w:p>
      <w:pPr>
        <w:pStyle w:val="Compact"/>
        <w:numPr>
          <w:ilvl w:val="0"/>
          <w:numId w:val="42"/>
        </w:numPr>
        <w:rPr/>
      </w:pPr>
      <w:r>
        <w:rPr/>
        <w:t>Simplify operation.</w:t>
      </w:r>
    </w:p>
    <w:p>
      <w:pPr>
        <w:pStyle w:val="Compact"/>
        <w:numPr>
          <w:ilvl w:val="0"/>
          <w:numId w:val="43"/>
        </w:numPr>
        <w:rPr/>
      </w:pPr>
      <w:r>
        <w:rPr/>
        <w:t>Improve maintainability.</w:t>
      </w:r>
    </w:p>
    <w:p>
      <w:pPr>
        <w:pStyle w:val="Compact"/>
        <w:numPr>
          <w:ilvl w:val="0"/>
          <w:numId w:val="44"/>
        </w:numPr>
        <w:rPr/>
      </w:pPr>
      <w:r>
        <w:rPr/>
        <w:t>Enable faster operational decisions.</w:t>
      </w:r>
    </w:p>
    <w:p>
      <w:pPr>
        <w:pStyle w:val="FirstParagraph"/>
        <w:rPr/>
      </w:pPr>
      <w:r>
        <w:rPr/>
        <w:t>Features that do not advance one or more of these goals should be carefully evaluated before becoming part of ASM.</w:t>
      </w:r>
    </w:p>
    <w:p>
      <w:pPr>
        <w:pStyle w:val="Normal"/>
        <w:rPr/>
      </w:pPr>
      <w:bookmarkStart w:id="6" w:name="engineering-goals"/>
      <w:r>
        <w:rPr/>
        <mc:AlternateContent>
          <mc:Choice Requires="wps">
            <w:drawing>
              <wp:inline distT="0" distB="0" distL="0" distR="0">
                <wp:extent cx="5943600" cy="19050"/>
                <wp:effectExtent l="0" t="0" r="0" b="0"/>
                <wp:docPr id="6" name="Shape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6"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6"/>
    </w:p>
    <w:p>
      <w:pPr>
        <w:pStyle w:val="Heading1"/>
        <w:rPr/>
      </w:pPr>
      <w:r>
        <w:rPr/>
        <w:t>Success Criteria</w:t>
      </w:r>
    </w:p>
    <w:p>
      <w:pPr>
        <w:pStyle w:val="FirstParagraph"/>
        <w:rPr/>
      </w:pPr>
      <w:r>
        <w:rPr/>
        <w:t>ASM is successful when engineers can answer questions such as:</w:t>
      </w:r>
    </w:p>
    <w:p>
      <w:pPr>
        <w:pStyle w:val="Compact"/>
        <w:numPr>
          <w:ilvl w:val="0"/>
          <w:numId w:val="45"/>
        </w:numPr>
        <w:rPr/>
      </w:pPr>
      <w:r>
        <w:rPr/>
        <w:t>Is the monitored application healthy?</w:t>
      </w:r>
    </w:p>
    <w:p>
      <w:pPr>
        <w:pStyle w:val="Compact"/>
        <w:numPr>
          <w:ilvl w:val="0"/>
          <w:numId w:val="46"/>
        </w:numPr>
        <w:rPr/>
      </w:pPr>
      <w:r>
        <w:rPr/>
        <w:t>If not, what changed?</w:t>
      </w:r>
    </w:p>
    <w:p>
      <w:pPr>
        <w:pStyle w:val="Compact"/>
        <w:numPr>
          <w:ilvl w:val="0"/>
          <w:numId w:val="47"/>
        </w:numPr>
        <w:rPr/>
      </w:pPr>
      <w:r>
        <w:rPr/>
        <w:t>What evidence supports that conclusion?</w:t>
      </w:r>
    </w:p>
    <w:p>
      <w:pPr>
        <w:pStyle w:val="Compact"/>
        <w:numPr>
          <w:ilvl w:val="0"/>
          <w:numId w:val="48"/>
        </w:numPr>
        <w:rPr/>
      </w:pPr>
      <w:r>
        <w:rPr/>
        <w:t>Can the monitoring results be trusted?</w:t>
      </w:r>
    </w:p>
    <w:p>
      <w:pPr>
        <w:pStyle w:val="Compact"/>
        <w:numPr>
          <w:ilvl w:val="0"/>
          <w:numId w:val="49"/>
        </w:numPr>
        <w:rPr/>
      </w:pPr>
      <w:r>
        <w:rPr/>
        <w:t>Did ASM itself contribute to the observed behavior?</w:t>
      </w:r>
    </w:p>
    <w:p>
      <w:pPr>
        <w:pStyle w:val="Compact"/>
        <w:numPr>
          <w:ilvl w:val="0"/>
          <w:numId w:val="50"/>
        </w:numPr>
        <w:rPr/>
      </w:pPr>
      <w:r>
        <w:rPr/>
        <w:t>What operational action should be taken next?</w:t>
      </w:r>
    </w:p>
    <w:p>
      <w:pPr>
        <w:pStyle w:val="FirstParagraph"/>
        <w:rPr/>
      </w:pPr>
      <w:r>
        <w:rPr/>
        <w:t>The best monitoring systems do more than report events.</w:t>
      </w:r>
    </w:p>
    <w:p>
      <w:pPr>
        <w:pStyle w:val="BodyText"/>
        <w:rPr/>
      </w:pPr>
      <w:r>
        <w:rPr/>
        <w:t>They explain them.</w:t>
      </w:r>
    </w:p>
    <w:p>
      <w:pPr>
        <w:pStyle w:val="Normal"/>
        <w:rPr/>
      </w:pPr>
      <w:bookmarkStart w:id="7" w:name="success-criteria"/>
      <w:r>
        <w:rPr/>
        <mc:AlternateContent>
          <mc:Choice Requires="wps">
            <w:drawing>
              <wp:inline distT="0" distB="0" distL="0" distR="0">
                <wp:extent cx="5943600" cy="19050"/>
                <wp:effectExtent l="0" t="0" r="0" b="0"/>
                <wp:docPr id="7" name="Shape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7"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7"/>
    </w:p>
    <w:p>
      <w:pPr>
        <w:pStyle w:val="Heading1"/>
        <w:rPr/>
      </w:pPr>
      <w:r>
        <w:rPr/>
        <w:t>Long-Term Vision</w:t>
      </w:r>
    </w:p>
    <w:p>
      <w:pPr>
        <w:pStyle w:val="FirstParagraph"/>
        <w:rPr/>
      </w:pPr>
      <w:r>
        <w:rPr/>
        <w:t>ASM should become a platform that organizations can confidently rely upon for synthetic monitoring across multiple applications, environments, and deployment models.</w:t>
      </w:r>
    </w:p>
    <w:p>
      <w:pPr>
        <w:pStyle w:val="BodyText"/>
        <w:rPr/>
      </w:pPr>
      <w:r>
        <w:rPr/>
        <w:t>The long-term objective is to make ASM:</w:t>
      </w:r>
    </w:p>
    <w:p>
      <w:pPr>
        <w:pStyle w:val="Compact"/>
        <w:numPr>
          <w:ilvl w:val="0"/>
          <w:numId w:val="51"/>
        </w:numPr>
        <w:rPr/>
      </w:pPr>
      <w:r>
        <w:rPr/>
        <w:t>Easy to deploy.</w:t>
      </w:r>
    </w:p>
    <w:p>
      <w:pPr>
        <w:pStyle w:val="Compact"/>
        <w:numPr>
          <w:ilvl w:val="0"/>
          <w:numId w:val="52"/>
        </w:numPr>
        <w:rPr/>
      </w:pPr>
      <w:r>
        <w:rPr/>
        <w:t>Easy to understand.</w:t>
      </w:r>
    </w:p>
    <w:p>
      <w:pPr>
        <w:pStyle w:val="Compact"/>
        <w:numPr>
          <w:ilvl w:val="0"/>
          <w:numId w:val="53"/>
        </w:numPr>
        <w:rPr/>
      </w:pPr>
      <w:r>
        <w:rPr/>
        <w:t>Easy to extend.</w:t>
      </w:r>
    </w:p>
    <w:p>
      <w:pPr>
        <w:pStyle w:val="Compact"/>
        <w:numPr>
          <w:ilvl w:val="0"/>
          <w:numId w:val="54"/>
        </w:numPr>
        <w:rPr/>
      </w:pPr>
      <w:r>
        <w:rPr/>
        <w:t>Easy to trust.</w:t>
      </w:r>
    </w:p>
    <w:p>
      <w:pPr>
        <w:pStyle w:val="FirstParagraph"/>
        <w:rPr/>
      </w:pPr>
      <w:r>
        <w:rPr/>
        <w:t>Every enhancement should strengthen those characteristics.</w:t>
      </w:r>
    </w:p>
    <w:p>
      <w:pPr>
        <w:pStyle w:val="Normal"/>
        <w:rPr/>
      </w:pPr>
      <w:bookmarkStart w:id="8" w:name="long-term-vision"/>
      <w:r>
        <w:rPr/>
        <mc:AlternateContent>
          <mc:Choice Requires="wps">
            <w:drawing>
              <wp:inline distT="0" distB="0" distL="0" distR="0">
                <wp:extent cx="5943600" cy="19050"/>
                <wp:effectExtent l="0" t="0" r="0" b="0"/>
                <wp:docPr id="8" name="Shape8"/>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8"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8"/>
    </w:p>
    <w:p>
      <w:pPr>
        <w:pStyle w:val="Heading1"/>
        <w:rPr/>
      </w:pPr>
      <w:r>
        <w:rPr/>
        <w:t>Closing Statement</w:t>
      </w:r>
    </w:p>
    <w:p>
      <w:pPr>
        <w:pStyle w:val="FirstParagraph"/>
        <w:rPr/>
      </w:pPr>
      <w:r>
        <w:rPr/>
        <w:t>ASM is not intended to produce more metrics than other monitoring platforms.</w:t>
      </w:r>
    </w:p>
    <w:p>
      <w:pPr>
        <w:pStyle w:val="BodyText"/>
        <w:rPr/>
      </w:pPr>
      <w:r>
        <w:rPr/>
        <w:t>ASM is intended to produce better understood metrics.</w:t>
      </w:r>
    </w:p>
    <w:p>
      <w:pPr>
        <w:pStyle w:val="BodyText"/>
        <w:rPr/>
      </w:pPr>
      <w:r>
        <w:rPr/>
        <w:t>By combining transparency, documentation, operational context, and confidence, ASM aims to transform monitoring data into actionable engineering knowledge.</w:t>
      </w:r>
    </w:p>
    <w:p>
      <w:pPr>
        <w:pStyle w:val="BodyText"/>
        <w:spacing w:before="180" w:after="180"/>
        <w:rPr/>
      </w:pPr>
      <w:bookmarkStart w:id="9" w:name="closing-statement"/>
      <w:r>
        <w:rPr/>
        <w:t>When engineers understand both the system they are monitoring and the monitoring platform itself, they can make faster, better, and more confident operational decisions.</w:t>
      </w:r>
      <w:bookmarkEnd w:id="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LibreOffice/24.2.7.2$Linux_X86_64 LibreOffice_project/420$Build-2</Application>
  <AppVersion>15.0000</AppVersion>
  <Pages>4</Pages>
  <Words>618</Words>
  <Characters>3753</Characters>
  <CharactersWithSpaces>4265</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2026-07-23T21:01:57Z</dcterms:created>
  <dc:creator/>
  <dc:description/>
  <dc:language>en-US</dc:language>
  <cp:lastModifiedBy/>
  <dcterms:modified xsi:type="dcterms:W3CDTF">2026-07-23T16:40:14Z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