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ASM Engineering Principles</w:t>
      </w:r>
    </w:p>
    <w:p>
      <w:pPr>
        <w:pStyle w:val="Heading2"/>
        <w:rPr/>
      </w:pPr>
      <w:r>
        <w:rPr/>
        <w:t>Purpose</w:t>
      </w:r>
    </w:p>
    <w:p>
      <w:pPr>
        <w:pStyle w:val="FirstParagraph"/>
        <w:rPr/>
      </w:pPr>
      <w:r>
        <w:rPr/>
        <w:t>The ASM Engineering Principles translate the project’s vision and manifesto into practical engineering guidance.</w:t>
      </w:r>
    </w:p>
    <w:p>
      <w:pPr>
        <w:pStyle w:val="BodyText"/>
        <w:rPr/>
      </w:pPr>
      <w:r>
        <w:rPr/>
        <w:t>These principles exist to support consistent decision-making throughout the life of the project. They are intended to help contributors evaluate new capabilities, review implementations, and maintain the engineering standards established by ASM.</w:t>
      </w:r>
    </w:p>
    <w:p>
      <w:pPr>
        <w:pStyle w:val="BodyText"/>
        <w:rPr/>
      </w:pPr>
      <w:r>
        <w:rPr/>
        <w:t>Whenever uncertainty exists regarding a design decision, these principles should be consulted before implementation begins.</w:t>
      </w:r>
    </w:p>
    <w:p>
      <w:pPr>
        <w:pStyle w:val="Normal"/>
        <w:rPr/>
      </w:pPr>
      <w:bookmarkStart w:id="0" w:name="purpose"/>
      <w:bookmarkStart w:id="1" w:name="asm-engineering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r>
        <w:rPr/>
        <w:t>Principle 1 — Design for Understanding</w:t>
      </w:r>
    </w:p>
    <w:p>
      <w:pPr>
        <w:pStyle w:val="FirstParagraph"/>
        <w:rPr/>
      </w:pPr>
      <w:r>
        <w:rPr/>
        <w:t>The primary objective of ASM is not the collection of telemetry.</w:t>
      </w:r>
    </w:p>
    <w:p>
      <w:pPr>
        <w:pStyle w:val="BodyText"/>
        <w:rPr/>
      </w:pPr>
      <w:r>
        <w:rPr/>
        <w:t>ASM exists to make complex systems understandable enough that good decisions become obvious.</w:t>
      </w:r>
    </w:p>
    <w:p>
      <w:pPr>
        <w:pStyle w:val="BodyText"/>
        <w:rPr/>
      </w:pPr>
      <w:r>
        <w:rPr/>
        <w:t>Every capability should improve a person’s ability to understand system behavior, reduce uncertainty, or make better operational decisions.</w:t>
      </w:r>
    </w:p>
    <w:p>
      <w:pPr>
        <w:pStyle w:val="BodyText"/>
        <w:rPr/>
      </w:pPr>
      <w:r>
        <w:rPr/>
        <w:t>When evaluating a proposed capability, ask:</w:t>
      </w:r>
    </w:p>
    <w:p>
      <w:pPr>
        <w:pStyle w:val="Compact"/>
        <w:numPr>
          <w:ilvl w:val="0"/>
          <w:numId w:val="1"/>
        </w:numPr>
        <w:rPr/>
      </w:pPr>
      <w:r>
        <w:rPr/>
        <w:t>Does this improve understanding?</w:t>
      </w:r>
    </w:p>
    <w:p>
      <w:pPr>
        <w:pStyle w:val="Compact"/>
        <w:numPr>
          <w:ilvl w:val="0"/>
          <w:numId w:val="1"/>
        </w:numPr>
        <w:rPr/>
      </w:pPr>
      <w:r>
        <w:rPr/>
        <w:t>Does it reduce uncertainty?</w:t>
      </w:r>
    </w:p>
    <w:p>
      <w:pPr>
        <w:pStyle w:val="Compact"/>
        <w:numPr>
          <w:ilvl w:val="0"/>
          <w:numId w:val="1"/>
        </w:numPr>
        <w:rPr/>
      </w:pPr>
      <w:r>
        <w:rPr/>
        <w:t>Does it help explain what changed?</w:t>
      </w:r>
    </w:p>
    <w:p>
      <w:pPr>
        <w:pStyle w:val="FirstParagraph"/>
        <w:rPr/>
      </w:pPr>
      <w:r>
        <w:rPr/>
        <w:t>If the answer is “no,” the capability should be reconsidered.</w:t>
      </w:r>
    </w:p>
    <w:p>
      <w:pPr>
        <w:pStyle w:val="Normal"/>
        <w:rPr/>
      </w:pPr>
      <w:bookmarkStart w:id="2" w:name="principle-1-design-for-understan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1"/>
        <w:rPr/>
      </w:pPr>
      <w:r>
        <w:rPr/>
        <w:t>Principle 2 — Confidence Must Be Explainable</w:t>
      </w:r>
    </w:p>
    <w:p>
      <w:pPr>
        <w:pStyle w:val="FirstParagraph"/>
        <w:rPr/>
      </w:pPr>
      <w:r>
        <w:rPr/>
        <w:t>The confidence rating should never be presented as an unexplained number.</w:t>
      </w:r>
    </w:p>
    <w:p>
      <w:pPr>
        <w:pStyle w:val="BodyText"/>
        <w:rPr/>
      </w:pPr>
      <w:r>
        <w:rPr/>
        <w:t>Whenever confidence is reduced, ASM should explain:</w:t>
      </w:r>
    </w:p>
    <w:p>
      <w:pPr>
        <w:pStyle w:val="Compact"/>
        <w:numPr>
          <w:ilvl w:val="0"/>
          <w:numId w:val="45"/>
        </w:numPr>
        <w:rPr/>
      </w:pPr>
      <w:r>
        <w:rPr/>
        <w:t>What happened.</w:t>
      </w:r>
    </w:p>
    <w:p>
      <w:pPr>
        <w:pStyle w:val="Compact"/>
        <w:numPr>
          <w:ilvl w:val="0"/>
          <w:numId w:val="46"/>
        </w:numPr>
        <w:rPr/>
      </w:pPr>
      <w:r>
        <w:rPr/>
        <w:t>Why confidence was reduced.</w:t>
      </w:r>
    </w:p>
    <w:p>
      <w:pPr>
        <w:pStyle w:val="Compact"/>
        <w:numPr>
          <w:ilvl w:val="0"/>
          <w:numId w:val="47"/>
        </w:numPr>
        <w:rPr/>
      </w:pPr>
      <w:r>
        <w:rPr/>
        <w:t>Which measurements were affected.</w:t>
      </w:r>
    </w:p>
    <w:p>
      <w:pPr>
        <w:pStyle w:val="Compact"/>
        <w:numPr>
          <w:ilvl w:val="0"/>
          <w:numId w:val="48"/>
        </w:numPr>
        <w:rPr/>
      </w:pPr>
      <w:r>
        <w:rPr/>
        <w:t>Whether operational conclusions are still considered reliable.</w:t>
      </w:r>
    </w:p>
    <w:p>
      <w:pPr>
        <w:pStyle w:val="FirstParagraph"/>
        <w:rPr/>
      </w:pPr>
      <w:r>
        <w:rPr/>
        <w:t>Confidence should always be supported by evidence.</w:t>
      </w:r>
    </w:p>
    <w:p>
      <w:pPr>
        <w:pStyle w:val="Normal"/>
        <w:rPr/>
      </w:pPr>
      <w:bookmarkStart w:id="3" w:name="X41427b034d8b299c382ea8aa34e48c8bc3dc70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1"/>
        <w:rPr/>
      </w:pPr>
      <w:r>
        <w:rPr/>
        <w:t>Principle 3 — Every Metric Has Operational Value</w:t>
      </w:r>
    </w:p>
    <w:p>
      <w:pPr>
        <w:pStyle w:val="FirstParagraph"/>
        <w:rPr/>
      </w:pPr>
      <w:r>
        <w:rPr/>
        <w:t>Metrics exist to answer operational questions.</w:t>
      </w:r>
    </w:p>
    <w:p>
      <w:pPr>
        <w:pStyle w:val="BodyText"/>
        <w:rPr/>
      </w:pPr>
      <w:r>
        <w:rPr/>
        <w:t>Before implementing a new metric, identify:</w:t>
      </w:r>
    </w:p>
    <w:p>
      <w:pPr>
        <w:pStyle w:val="Compact"/>
        <w:numPr>
          <w:ilvl w:val="0"/>
          <w:numId w:val="49"/>
        </w:numPr>
        <w:rPr/>
      </w:pPr>
      <w:r>
        <w:rPr/>
        <w:t>What operational question does this answer?</w:t>
      </w:r>
    </w:p>
    <w:p>
      <w:pPr>
        <w:pStyle w:val="Compact"/>
        <w:numPr>
          <w:ilvl w:val="0"/>
          <w:numId w:val="50"/>
        </w:numPr>
        <w:rPr/>
      </w:pPr>
      <w:r>
        <w:rPr/>
        <w:t>What decision will this enable?</w:t>
      </w:r>
    </w:p>
    <w:p>
      <w:pPr>
        <w:pStyle w:val="Compact"/>
        <w:numPr>
          <w:ilvl w:val="0"/>
          <w:numId w:val="51"/>
        </w:numPr>
        <w:rPr/>
      </w:pPr>
      <w:r>
        <w:rPr/>
        <w:t>Who benefits from this information?</w:t>
      </w:r>
    </w:p>
    <w:p>
      <w:pPr>
        <w:pStyle w:val="FirstParagraph"/>
        <w:rPr/>
      </w:pPr>
      <w:r>
        <w:rPr/>
        <w:t>Metrics without a clear operational purpose should not be added simply because they are measurable.</w:t>
      </w:r>
    </w:p>
    <w:p>
      <w:pPr>
        <w:pStyle w:val="Normal"/>
        <w:rPr/>
      </w:pPr>
      <w:bookmarkStart w:id="4" w:name="Xabc4cb15e5cacca1ad6cd9885f88d109c2bff9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1"/>
        <w:rPr/>
      </w:pPr>
      <w:r>
        <w:rPr/>
        <w:t>Principle 4 — Every Error Should Reduce Uncertainty</w:t>
      </w:r>
    </w:p>
    <w:p>
      <w:pPr>
        <w:pStyle w:val="FirstParagraph"/>
        <w:rPr/>
      </w:pPr>
      <w:r>
        <w:rPr/>
        <w:t>Error reporting should guide investigation rather than simply announce failure.</w:t>
      </w:r>
    </w:p>
    <w:p>
      <w:pPr>
        <w:pStyle w:val="BodyText"/>
        <w:rPr/>
      </w:pPr>
      <w:r>
        <w:rPr/>
        <w:t>Good diagnostics should narrow the range of possible causes.</w:t>
      </w:r>
    </w:p>
    <w:p>
      <w:pPr>
        <w:pStyle w:val="BodyText"/>
        <w:rPr/>
      </w:pPr>
      <w:r>
        <w:rPr/>
        <w:t>Whenever practical, include:</w:t>
      </w:r>
    </w:p>
    <w:p>
      <w:pPr>
        <w:pStyle w:val="Compact"/>
        <w:numPr>
          <w:ilvl w:val="0"/>
          <w:numId w:val="52"/>
        </w:numPr>
        <w:rPr/>
      </w:pPr>
      <w:r>
        <w:rPr/>
        <w:t>What failed.</w:t>
      </w:r>
    </w:p>
    <w:p>
      <w:pPr>
        <w:pStyle w:val="Compact"/>
        <w:numPr>
          <w:ilvl w:val="0"/>
          <w:numId w:val="53"/>
        </w:numPr>
        <w:rPr/>
      </w:pPr>
      <w:r>
        <w:rPr/>
        <w:t>Where it failed.</w:t>
      </w:r>
    </w:p>
    <w:p>
      <w:pPr>
        <w:pStyle w:val="Compact"/>
        <w:numPr>
          <w:ilvl w:val="0"/>
          <w:numId w:val="54"/>
        </w:numPr>
        <w:rPr/>
      </w:pPr>
      <w:r>
        <w:rPr/>
        <w:t>What still succeeded.</w:t>
      </w:r>
    </w:p>
    <w:p>
      <w:pPr>
        <w:pStyle w:val="Compact"/>
        <w:numPr>
          <w:ilvl w:val="0"/>
          <w:numId w:val="55"/>
        </w:numPr>
        <w:rPr/>
      </w:pPr>
      <w:r>
        <w:rPr/>
        <w:t>What evidence was collected.</w:t>
      </w:r>
    </w:p>
    <w:p>
      <w:pPr>
        <w:pStyle w:val="Compact"/>
        <w:numPr>
          <w:ilvl w:val="0"/>
          <w:numId w:val="56"/>
        </w:numPr>
        <w:rPr/>
      </w:pPr>
      <w:r>
        <w:rPr/>
        <w:t>Suggested next areas of investigation.</w:t>
      </w:r>
    </w:p>
    <w:p>
      <w:pPr>
        <w:pStyle w:val="Normal"/>
        <w:rPr/>
      </w:pPr>
      <w:bookmarkStart w:id="5" w:name="Xf91855a41dd27860a028bead26a902f6906570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1"/>
        <w:rPr/>
      </w:pPr>
      <w:r>
        <w:rPr/>
        <w:t>Principle 5 — Monitor the Monitor</w:t>
      </w:r>
    </w:p>
    <w:p>
      <w:pPr>
        <w:pStyle w:val="FirstParagraph"/>
        <w:rPr/>
      </w:pPr>
      <w:r>
        <w:rPr/>
        <w:t>ASM is itself a production system.</w:t>
      </w:r>
    </w:p>
    <w:p>
      <w:pPr>
        <w:pStyle w:val="BodyText"/>
        <w:rPr/>
      </w:pPr>
      <w:r>
        <w:rPr/>
        <w:t>Its health directly affects confidence in the measurements it produces.</w:t>
      </w:r>
    </w:p>
    <w:p>
      <w:pPr>
        <w:pStyle w:val="BodyText"/>
        <w:rPr/>
      </w:pPr>
      <w:r>
        <w:rPr/>
        <w:t>Whenever practical, ASM should expose metrics describing its own operation, including:</w:t>
      </w:r>
    </w:p>
    <w:p>
      <w:pPr>
        <w:pStyle w:val="Compact"/>
        <w:numPr>
          <w:ilvl w:val="0"/>
          <w:numId w:val="57"/>
        </w:numPr>
        <w:rPr/>
      </w:pPr>
      <w:r>
        <w:rPr/>
        <w:t>Runtime health.</w:t>
      </w:r>
    </w:p>
    <w:p>
      <w:pPr>
        <w:pStyle w:val="Compact"/>
        <w:numPr>
          <w:ilvl w:val="0"/>
          <w:numId w:val="58"/>
        </w:numPr>
        <w:rPr/>
      </w:pPr>
      <w:r>
        <w:rPr/>
        <w:t>Cache status.</w:t>
      </w:r>
    </w:p>
    <w:p>
      <w:pPr>
        <w:pStyle w:val="Compact"/>
        <w:numPr>
          <w:ilvl w:val="0"/>
          <w:numId w:val="59"/>
        </w:numPr>
        <w:rPr/>
      </w:pPr>
      <w:r>
        <w:rPr/>
        <w:t>Collection duration.</w:t>
      </w:r>
    </w:p>
    <w:p>
      <w:pPr>
        <w:pStyle w:val="Compact"/>
        <w:numPr>
          <w:ilvl w:val="0"/>
          <w:numId w:val="60"/>
        </w:numPr>
        <w:rPr/>
      </w:pPr>
      <w:r>
        <w:rPr/>
        <w:t>Browser health.</w:t>
      </w:r>
    </w:p>
    <w:p>
      <w:pPr>
        <w:pStyle w:val="Compact"/>
        <w:numPr>
          <w:ilvl w:val="0"/>
          <w:numId w:val="61"/>
        </w:numPr>
        <w:rPr/>
      </w:pPr>
      <w:r>
        <w:rPr/>
        <w:t>Cleanup status.</w:t>
      </w:r>
    </w:p>
    <w:p>
      <w:pPr>
        <w:pStyle w:val="Compact"/>
        <w:numPr>
          <w:ilvl w:val="0"/>
          <w:numId w:val="62"/>
        </w:numPr>
        <w:rPr/>
      </w:pPr>
      <w:r>
        <w:rPr/>
        <w:t>Diagnostic information.</w:t>
      </w:r>
    </w:p>
    <w:p>
      <w:pPr>
        <w:pStyle w:val="FirstParagraph"/>
        <w:rPr/>
      </w:pPr>
      <w:r>
        <w:rPr/>
        <w:t>The monitoring platform should never become a blind spot.</w:t>
      </w:r>
    </w:p>
    <w:p>
      <w:pPr>
        <w:pStyle w:val="Normal"/>
        <w:rPr/>
      </w:pPr>
      <w:bookmarkStart w:id="6" w:name="principle-5-monitor-the-moni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1"/>
        <w:rPr/>
      </w:pPr>
      <w:r>
        <w:rPr/>
        <w:t>Principle 6 — Documentation Is Part of the Capability</w:t>
      </w:r>
    </w:p>
    <w:p>
      <w:pPr>
        <w:pStyle w:val="FirstParagraph"/>
        <w:rPr/>
      </w:pPr>
      <w:r>
        <w:rPr/>
        <w:t>Implementation is only one component of a completed capability.</w:t>
      </w:r>
    </w:p>
    <w:p>
      <w:pPr>
        <w:pStyle w:val="BodyText"/>
        <w:rPr/>
      </w:pPr>
      <w:r>
        <w:rPr/>
        <w:t>Whenever a capability is added or modified, its documentation should evolve with it.</w:t>
      </w:r>
    </w:p>
    <w:p>
      <w:pPr>
        <w:pStyle w:val="BodyText"/>
        <w:rPr/>
      </w:pPr>
      <w:r>
        <w:rPr/>
        <w:t>Documentation should explain:</w:t>
      </w:r>
    </w:p>
    <w:p>
      <w:pPr>
        <w:pStyle w:val="Compact"/>
        <w:numPr>
          <w:ilvl w:val="0"/>
          <w:numId w:val="63"/>
        </w:numPr>
        <w:rPr/>
      </w:pPr>
      <w:r>
        <w:rPr/>
        <w:t>Purpose.</w:t>
      </w:r>
    </w:p>
    <w:p>
      <w:pPr>
        <w:pStyle w:val="Compact"/>
        <w:numPr>
          <w:ilvl w:val="0"/>
          <w:numId w:val="64"/>
        </w:numPr>
        <w:rPr/>
      </w:pPr>
      <w:r>
        <w:rPr/>
        <w:t>Calculation.</w:t>
      </w:r>
    </w:p>
    <w:p>
      <w:pPr>
        <w:pStyle w:val="Compact"/>
        <w:numPr>
          <w:ilvl w:val="0"/>
          <w:numId w:val="65"/>
        </w:numPr>
        <w:rPr/>
      </w:pPr>
      <w:r>
        <w:rPr/>
        <w:t>Operational value.</w:t>
      </w:r>
    </w:p>
    <w:p>
      <w:pPr>
        <w:pStyle w:val="Compact"/>
        <w:numPr>
          <w:ilvl w:val="0"/>
          <w:numId w:val="66"/>
        </w:numPr>
        <w:rPr/>
      </w:pPr>
      <w:r>
        <w:rPr/>
        <w:t>Limitations.</w:t>
      </w:r>
    </w:p>
    <w:p>
      <w:pPr>
        <w:pStyle w:val="Compact"/>
        <w:numPr>
          <w:ilvl w:val="0"/>
          <w:numId w:val="67"/>
        </w:numPr>
        <w:rPr/>
      </w:pPr>
      <w:r>
        <w:rPr/>
        <w:t>Confidence.</w:t>
      </w:r>
    </w:p>
    <w:p>
      <w:pPr>
        <w:pStyle w:val="Compact"/>
        <w:numPr>
          <w:ilvl w:val="0"/>
          <w:numId w:val="68"/>
        </w:numPr>
        <w:rPr/>
      </w:pPr>
      <w:r>
        <w:rPr/>
        <w:t>Future enhancements, where appropriate.</w:t>
      </w:r>
    </w:p>
    <w:p>
      <w:pPr>
        <w:pStyle w:val="Normal"/>
        <w:rPr/>
      </w:pPr>
      <w:bookmarkStart w:id="7" w:name="X85f15f164aa6d6c5390fe89a021a8ca123e0fc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1"/>
        <w:rPr/>
      </w:pPr>
      <w:r>
        <w:rPr/>
        <w:t>Principle 7 — Clarity Over Cleverness</w:t>
      </w:r>
    </w:p>
    <w:p>
      <w:pPr>
        <w:pStyle w:val="FirstParagraph"/>
        <w:rPr/>
      </w:pPr>
      <w:r>
        <w:rPr/>
        <w:t>Solutions should be understandable by future contributors.</w:t>
      </w:r>
    </w:p>
    <w:p>
      <w:pPr>
        <w:pStyle w:val="BodyText"/>
        <w:rPr/>
      </w:pPr>
      <w:r>
        <w:rPr/>
        <w:t>Readable code, understandable dashboards, and clear documentation are preferred over unnecessary complexity.</w:t>
      </w:r>
    </w:p>
    <w:p>
      <w:pPr>
        <w:pStyle w:val="BodyText"/>
        <w:rPr/>
      </w:pPr>
      <w:r>
        <w:rPr/>
        <w:t>If a simpler solution provides equivalent operational value, the simpler solution should be chosen.</w:t>
      </w:r>
    </w:p>
    <w:p>
      <w:pPr>
        <w:pStyle w:val="Normal"/>
        <w:rPr/>
      </w:pPr>
      <w:bookmarkStart w:id="8" w:name="principle-7-clarity-over-clevern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1"/>
        <w:rPr/>
      </w:pPr>
      <w:r>
        <w:rPr/>
        <w:t>Principle 8 — Portability by Design</w:t>
      </w:r>
    </w:p>
    <w:p>
      <w:pPr>
        <w:pStyle w:val="FirstParagraph"/>
        <w:rPr/>
      </w:pPr>
      <w:r>
        <w:rPr/>
        <w:t>Deployment should not depend upon a specific environment.</w:t>
      </w:r>
    </w:p>
    <w:p>
      <w:pPr>
        <w:pStyle w:val="BodyText"/>
        <w:rPr/>
      </w:pPr>
      <w:r>
        <w:rPr/>
        <w:t>Configuration should be externalized wherever practical.</w:t>
      </w:r>
    </w:p>
    <w:p>
      <w:pPr>
        <w:pStyle w:val="BodyText"/>
        <w:rPr/>
      </w:pPr>
      <w:r>
        <w:rPr/>
        <w:t>Environment-specific values should not require source code modification.</w:t>
      </w:r>
    </w:p>
    <w:p>
      <w:pPr>
        <w:pStyle w:val="BodyText"/>
        <w:rPr/>
      </w:pPr>
      <w:r>
        <w:rPr/>
        <w:t>Deploying ASM into a new environment should be routine and predictable.</w:t>
      </w:r>
    </w:p>
    <w:p>
      <w:pPr>
        <w:pStyle w:val="Normal"/>
        <w:rPr/>
      </w:pPr>
      <w:bookmarkStart w:id="9" w:name="principle-8-portability-by-desig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1"/>
        <w:rPr/>
      </w:pPr>
      <w:r>
        <w:rPr/>
        <w:t>Principle 9 — Build for Extensibility</w:t>
      </w:r>
    </w:p>
    <w:p>
      <w:pPr>
        <w:pStyle w:val="FirstParagraph"/>
        <w:rPr/>
      </w:pPr>
      <w:r>
        <w:rPr/>
        <w:t>ASM should continue to grow without requiring architectural redesign.</w:t>
      </w:r>
    </w:p>
    <w:p>
      <w:pPr>
        <w:pStyle w:val="BodyText"/>
        <w:rPr/>
      </w:pPr>
      <w:r>
        <w:rPr/>
        <w:t>New journeys, monitored applications, metrics, and deployment environments should integrate naturally with the existing architecture.</w:t>
      </w:r>
    </w:p>
    <w:p>
      <w:pPr>
        <w:pStyle w:val="BodyText"/>
        <w:rPr/>
      </w:pPr>
      <w:r>
        <w:rPr/>
        <w:t>Extensibility should not come at the expense of clarity.</w:t>
      </w:r>
    </w:p>
    <w:p>
      <w:pPr>
        <w:pStyle w:val="Normal"/>
        <w:rPr/>
      </w:pPr>
      <w:bookmarkStart w:id="10" w:name="principle-9-build-for-extens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1"/>
        <w:rPr/>
      </w:pPr>
      <w:r>
        <w:rPr/>
        <w:t>Principle 10 — Leave a Trail of Evidence</w:t>
      </w:r>
    </w:p>
    <w:p>
      <w:pPr>
        <w:pStyle w:val="FirstParagraph"/>
        <w:rPr/>
      </w:pPr>
      <w:r>
        <w:rPr/>
        <w:t>Unexpected results should be accompanied by sufficient evidence to support investigation.</w:t>
      </w:r>
    </w:p>
    <w:p>
      <w:pPr>
        <w:pStyle w:val="BodyText"/>
        <w:rPr/>
      </w:pPr>
      <w:r>
        <w:rPr/>
        <w:t>Evidence may include:</w:t>
      </w:r>
    </w:p>
    <w:p>
      <w:pPr>
        <w:pStyle w:val="Compact"/>
        <w:numPr>
          <w:ilvl w:val="0"/>
          <w:numId w:val="69"/>
        </w:numPr>
        <w:rPr/>
      </w:pPr>
      <w:r>
        <w:rPr/>
        <w:t>Diagnostic metrics.</w:t>
      </w:r>
    </w:p>
    <w:p>
      <w:pPr>
        <w:pStyle w:val="Compact"/>
        <w:numPr>
          <w:ilvl w:val="0"/>
          <w:numId w:val="70"/>
        </w:numPr>
        <w:rPr/>
      </w:pPr>
      <w:r>
        <w:rPr/>
        <w:t>Logs.</w:t>
      </w:r>
    </w:p>
    <w:p>
      <w:pPr>
        <w:pStyle w:val="Compact"/>
        <w:numPr>
          <w:ilvl w:val="0"/>
          <w:numId w:val="71"/>
        </w:numPr>
        <w:rPr/>
      </w:pPr>
      <w:r>
        <w:rPr/>
        <w:t>Screenshots.</w:t>
      </w:r>
    </w:p>
    <w:p>
      <w:pPr>
        <w:pStyle w:val="Compact"/>
        <w:numPr>
          <w:ilvl w:val="0"/>
          <w:numId w:val="72"/>
        </w:numPr>
        <w:rPr/>
      </w:pPr>
      <w:r>
        <w:rPr/>
        <w:t>Network information.</w:t>
      </w:r>
    </w:p>
    <w:p>
      <w:pPr>
        <w:pStyle w:val="Compact"/>
        <w:numPr>
          <w:ilvl w:val="0"/>
          <w:numId w:val="73"/>
        </w:numPr>
        <w:rPr/>
      </w:pPr>
      <w:r>
        <w:rPr/>
        <w:t>Browser diagnostics.</w:t>
      </w:r>
    </w:p>
    <w:p>
      <w:pPr>
        <w:pStyle w:val="Compact"/>
        <w:numPr>
          <w:ilvl w:val="0"/>
          <w:numId w:val="74"/>
        </w:numPr>
        <w:rPr/>
      </w:pPr>
      <w:r>
        <w:rPr/>
        <w:t>Confidence explanations.</w:t>
      </w:r>
    </w:p>
    <w:p>
      <w:pPr>
        <w:pStyle w:val="FirstParagraph"/>
        <w:rPr/>
      </w:pPr>
      <w:r>
        <w:rPr/>
        <w:t>Operators should spend their time understanding the problem rather than recreating it.</w:t>
      </w:r>
    </w:p>
    <w:p>
      <w:pPr>
        <w:pStyle w:val="Normal"/>
        <w:rPr/>
      </w:pPr>
      <w:bookmarkStart w:id="11" w:name="principle-10-leave-a-trail-of-ev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1"/>
        <w:rPr/>
      </w:pPr>
      <w:r>
        <w:rPr/>
        <w:t>Principle 11 — Every document should earn its length.</w:t>
      </w:r>
    </w:p>
    <w:p>
      <w:pPr>
        <w:pStyle w:val="FirstParagraph"/>
        <w:rPr/>
      </w:pPr>
      <w:r>
        <w:rPr/>
        <w:t>NEEDS REFINEMENT</w:t>
      </w:r>
    </w:p>
    <w:p>
      <w:pPr>
        <w:pStyle w:val="BodyText"/>
        <w:rPr/>
      </w:pPr>
      <w:r>
        <w:rPr/>
        <w:t>Every paragraph should answer:</w:t>
      </w:r>
    </w:p>
    <w:p>
      <w:pPr>
        <w:pStyle w:val="BodyText"/>
        <w:rPr/>
      </w:pPr>
      <w:r>
        <w:rPr/>
        <w:t>Would someone be worse off if this paragraph didn't exist?</w:t>
      </w:r>
    </w:p>
    <w:p>
      <w:pPr>
        <w:pStyle w:val="BodyText"/>
        <w:rPr/>
      </w:pPr>
      <w:r>
        <w:rPr/>
        <w:t>If the answer is "no"...</w:t>
      </w:r>
    </w:p>
    <w:p>
      <w:pPr>
        <w:pStyle w:val="BodyText"/>
        <w:rPr/>
      </w:pPr>
      <w:r>
        <w:rPr/>
        <w:t>...cut it.</w:t>
      </w:r>
    </w:p>
    <w:p>
      <w:pPr>
        <w:pStyle w:val="Normal"/>
        <w:rPr/>
      </w:pPr>
      <w:bookmarkStart w:id="12" w:name="principle-10-leave-a-trail-of-evidence_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1"/>
        <w:rPr/>
      </w:pPr>
      <w:r>
        <w:rPr/>
        <w:t>Principle 12 - Describe capabilities, not implementations</w:t>
      </w:r>
    </w:p>
    <w:p>
      <w:pPr>
        <w:pStyle w:val="BodyText"/>
        <w:rPr/>
      </w:pPr>
      <w:r>
        <w:rPr/>
        <w:t>ASM is designed to integrate with existing operational environments while remaining independent of any particular deployment platform, orchestration technology, or monitoring ecosystem.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Examples:</w:t>
      </w:r>
    </w:p>
    <w:p>
      <w:pPr>
        <w:pStyle w:val="BodyText"/>
        <w:rPr/>
      </w:pPr>
      <w:r>
        <w:rPr/>
        <w:t>Instead of:</w:t>
      </w:r>
    </w:p>
    <w:p>
      <w:pPr>
        <w:pStyle w:val="BlockQuotation"/>
        <w:rPr/>
      </w:pPr>
      <w:r>
        <w:rPr/>
        <w:t>Grafana Guidance</w:t>
      </w:r>
    </w:p>
    <w:p>
      <w:pPr>
        <w:pStyle w:val="BodyText"/>
        <w:rPr/>
      </w:pPr>
      <w:r>
        <w:rPr/>
        <w:t>We say:</w:t>
      </w:r>
    </w:p>
    <w:p>
      <w:pPr>
        <w:pStyle w:val="BlockQuotation"/>
        <w:rPr/>
      </w:pPr>
      <w:r>
        <w:rPr/>
        <w:t>Monitoring Guidance</w:t>
      </w:r>
    </w:p>
    <w:p>
      <w:pPr>
        <w:pStyle w:val="BodyText"/>
        <w:rPr/>
      </w:pPr>
      <w:r>
        <w:rPr/>
        <w:t>Instead of:</w:t>
      </w:r>
    </w:p>
    <w:p>
      <w:pPr>
        <w:pStyle w:val="BlockQuotation"/>
        <w:rPr/>
      </w:pPr>
      <w:r>
        <w:rPr/>
        <w:t xml:space="preserve">Waits for </w:t>
      </w:r>
      <w:r>
        <w:rPr>
          <w:rStyle w:val="SourceText"/>
        </w:rPr>
        <w:t>#ctl00_usrCaption_tlbPath</w:t>
      </w:r>
    </w:p>
    <w:p>
      <w:pPr>
        <w:pStyle w:val="BodyText"/>
        <w:rPr/>
      </w:pPr>
      <w:r>
        <w:rPr/>
        <w:t>We say:</w:t>
      </w:r>
    </w:p>
    <w:p>
      <w:pPr>
        <w:pStyle w:val="BlockQuotation"/>
        <w:rPr/>
      </w:pPr>
      <w:r>
        <w:rPr/>
        <w:t>Waits for the configured readiness indicator.</w:t>
      </w:r>
    </w:p>
    <w:p>
      <w:pPr>
        <w:pStyle w:val="Normal"/>
        <w:rPr/>
      </w:pPr>
      <w:bookmarkStart w:id="13" w:name="principle-10-leave-a-trail-of-evidence_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1"/>
        <w:rPr/>
      </w:pPr>
      <w:r>
        <w:rPr/>
        <w:t>Capability Review</w:t>
      </w:r>
    </w:p>
    <w:p>
      <w:pPr>
        <w:pStyle w:val="FirstParagraph"/>
        <w:rPr/>
      </w:pPr>
      <w:r>
        <w:rPr/>
        <w:t>Before implementing a new capability, consider the following questions.</w:t>
      </w:r>
    </w:p>
    <w:p>
      <w:pPr>
        <w:pStyle w:val="Heading2"/>
        <w:rPr/>
      </w:pPr>
      <w:r>
        <w:rPr/>
        <w:t>Understanding</w:t>
      </w:r>
    </w:p>
    <w:p>
      <w:pPr>
        <w:pStyle w:val="Compact"/>
        <w:numPr>
          <w:ilvl w:val="0"/>
          <w:numId w:val="75"/>
        </w:numPr>
        <w:rPr/>
      </w:pPr>
      <w:r>
        <w:rPr/>
        <w:t>Does this improve understanding?</w:t>
      </w:r>
    </w:p>
    <w:p>
      <w:pPr>
        <w:pStyle w:val="Compact"/>
        <w:numPr>
          <w:ilvl w:val="0"/>
          <w:numId w:val="76"/>
        </w:numPr>
        <w:rPr/>
      </w:pPr>
      <w:bookmarkStart w:id="14" w:name="understanding"/>
      <w:r>
        <w:rPr/>
        <w:t>Does it reduce uncertainty?</w:t>
      </w:r>
      <w:bookmarkEnd w:id="14"/>
    </w:p>
    <w:p>
      <w:pPr>
        <w:pStyle w:val="Heading2"/>
        <w:rPr/>
      </w:pPr>
      <w:r>
        <w:rPr/>
        <w:t>Operational Value</w:t>
      </w:r>
    </w:p>
    <w:p>
      <w:pPr>
        <w:pStyle w:val="Compact"/>
        <w:numPr>
          <w:ilvl w:val="0"/>
          <w:numId w:val="77"/>
        </w:numPr>
        <w:rPr/>
      </w:pPr>
      <w:r>
        <w:rPr/>
        <w:t>What operational decision does this support?</w:t>
      </w:r>
    </w:p>
    <w:p>
      <w:pPr>
        <w:pStyle w:val="Compact"/>
        <w:numPr>
          <w:ilvl w:val="0"/>
          <w:numId w:val="78"/>
        </w:numPr>
        <w:rPr/>
      </w:pPr>
      <w:bookmarkStart w:id="15" w:name="operational-value"/>
      <w:r>
        <w:rPr/>
        <w:t>Who benefits from this information?</w:t>
      </w:r>
      <w:bookmarkEnd w:id="15"/>
    </w:p>
    <w:p>
      <w:pPr>
        <w:pStyle w:val="Heading2"/>
        <w:rPr/>
      </w:pPr>
      <w:r>
        <w:rPr/>
        <w:t>Confidence</w:t>
      </w:r>
    </w:p>
    <w:p>
      <w:pPr>
        <w:pStyle w:val="Compact"/>
        <w:numPr>
          <w:ilvl w:val="0"/>
          <w:numId w:val="79"/>
        </w:numPr>
        <w:rPr/>
      </w:pPr>
      <w:r>
        <w:rPr/>
        <w:t>Can users understand why they should trust the result?</w:t>
      </w:r>
    </w:p>
    <w:p>
      <w:pPr>
        <w:pStyle w:val="Compact"/>
        <w:numPr>
          <w:ilvl w:val="0"/>
          <w:numId w:val="80"/>
        </w:numPr>
        <w:rPr/>
      </w:pPr>
      <w:bookmarkStart w:id="16" w:name="confidence"/>
      <w:r>
        <w:rPr/>
        <w:t>Can reduced confidence be explained?</w:t>
      </w:r>
      <w:bookmarkEnd w:id="16"/>
    </w:p>
    <w:p>
      <w:pPr>
        <w:pStyle w:val="Heading2"/>
        <w:rPr/>
      </w:pPr>
      <w:r>
        <w:rPr/>
        <w:t>Maintainability</w:t>
      </w:r>
    </w:p>
    <w:p>
      <w:pPr>
        <w:pStyle w:val="Compact"/>
        <w:numPr>
          <w:ilvl w:val="0"/>
          <w:numId w:val="81"/>
        </w:numPr>
        <w:rPr/>
      </w:pPr>
      <w:r>
        <w:rPr/>
        <w:t>Is the implementation understandable?</w:t>
      </w:r>
    </w:p>
    <w:p>
      <w:pPr>
        <w:pStyle w:val="Compact"/>
        <w:numPr>
          <w:ilvl w:val="0"/>
          <w:numId w:val="82"/>
        </w:numPr>
        <w:rPr/>
      </w:pPr>
      <w:r>
        <w:rPr/>
        <w:t>Is it well documented?</w:t>
      </w:r>
    </w:p>
    <w:p>
      <w:pPr>
        <w:pStyle w:val="Compact"/>
        <w:numPr>
          <w:ilvl w:val="0"/>
          <w:numId w:val="83"/>
        </w:numPr>
        <w:rPr/>
      </w:pPr>
      <w:bookmarkStart w:id="17" w:name="maintainability"/>
      <w:r>
        <w:rPr/>
        <w:t>Will it remain maintainable over time?</w:t>
      </w:r>
      <w:bookmarkEnd w:id="17"/>
    </w:p>
    <w:p>
      <w:pPr>
        <w:pStyle w:val="Heading2"/>
        <w:rPr/>
      </w:pPr>
      <w:r>
        <w:rPr/>
        <w:t>Deployment</w:t>
      </w:r>
    </w:p>
    <w:p>
      <w:pPr>
        <w:pStyle w:val="Compact"/>
        <w:numPr>
          <w:ilvl w:val="0"/>
          <w:numId w:val="84"/>
        </w:numPr>
        <w:rPr/>
      </w:pPr>
      <w:r>
        <w:rPr/>
        <w:t>Is configuration externalized?</w:t>
      </w:r>
    </w:p>
    <w:p>
      <w:pPr>
        <w:pStyle w:val="Compact"/>
        <w:numPr>
          <w:ilvl w:val="0"/>
          <w:numId w:val="85"/>
        </w:numPr>
        <w:rPr/>
      </w:pPr>
      <w:bookmarkStart w:id="18" w:name="deployment"/>
      <w:r>
        <w:rPr/>
        <w:t>Will this behave consistently across environments?</w:t>
      </w:r>
      <w:bookmarkEnd w:id="18"/>
    </w:p>
    <w:p>
      <w:pPr>
        <w:pStyle w:val="Heading2"/>
        <w:rPr/>
      </w:pPr>
      <w:r>
        <w:rPr/>
        <w:t>Observability</w:t>
      </w:r>
    </w:p>
    <w:p>
      <w:pPr>
        <w:pStyle w:val="Compact"/>
        <w:numPr>
          <w:ilvl w:val="0"/>
          <w:numId w:val="86"/>
        </w:numPr>
        <w:rPr/>
      </w:pPr>
      <w:r>
        <w:rPr/>
        <w:t>Does ASM expose enough information to diagnose problems with the capability itself?</w:t>
      </w:r>
    </w:p>
    <w:p>
      <w:pPr>
        <w:pStyle w:val="Normal"/>
        <w:rPr/>
      </w:pPr>
      <w:bookmarkStart w:id="19" w:name="observability"/>
      <w:bookmarkStart w:id="20" w:name="capability-re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1"/>
        <w:rPr/>
      </w:pPr>
      <w:r>
        <w:rPr/>
        <w:t>Engineering Standard</w:t>
      </w:r>
    </w:p>
    <w:p>
      <w:pPr>
        <w:pStyle w:val="FirstParagraph"/>
        <w:rPr/>
      </w:pPr>
      <w:r>
        <w:rPr/>
        <w:t>ASM favors engineering decisions that improve trust, transparency, clarity, and operational value over those that simply increase the number of features.</w:t>
      </w:r>
    </w:p>
    <w:p>
      <w:pPr>
        <w:pStyle w:val="BodyText"/>
        <w:rPr/>
      </w:pPr>
      <w:r>
        <w:rPr/>
        <w:t>Capabilities should be evaluated not only by what they measure, but by how effectively they help people understand and respond to what they measure.</w:t>
      </w:r>
    </w:p>
    <w:p>
      <w:pPr>
        <w:pStyle w:val="BodyText"/>
        <w:rPr/>
      </w:pPr>
      <w:r>
        <w:rPr/>
        <w:t>The goal is not to produce more telemetry.</w:t>
      </w:r>
    </w:p>
    <w:p>
      <w:pPr>
        <w:pStyle w:val="BodyText"/>
        <w:spacing w:before="180" w:after="180"/>
        <w:rPr/>
      </w:pPr>
      <w:bookmarkStart w:id="21" w:name="engineering-standard"/>
      <w:r>
        <w:rPr/>
        <w:t>The goal is to transform telemetry into understanding.</w:t>
      </w:r>
      <w:bookmarkEnd w:id="2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LibreOffice/24.2.7.2$Linux_X86_64 LibreOffice_project/420$Build-2</Application>
  <AppVersion>15.0000</AppVersion>
  <Pages>7</Pages>
  <Words>815</Words>
  <Characters>5062</Characters>
  <CharactersWithSpaces>5719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2026-07-23T21:32:25Z</dcterms:created>
  <dc:creator/>
  <dc:description/>
  <dc:language>en-US</dc:language>
  <cp:lastModifiedBy/>
  <dcterms:modified xsi:type="dcterms:W3CDTF">2026-07-23T19:15:28Z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