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ui-score"/>
    <w:p>
      <w:pPr>
        <w:pStyle w:val="Heading2"/>
      </w:pPr>
      <w:r>
        <w:t xml:space="preserve">UI Score</w:t>
      </w:r>
    </w:p>
    <w:p>
      <w:pPr>
        <w:pStyle w:val="FirstParagraph"/>
      </w:pPr>
      <w:r>
        <w:rPr>
          <w:b/>
          <w:bCs/>
        </w:rPr>
        <w:t xml:space="preserve">Prometheus Metric:</w:t>
      </w:r>
      <w:r>
        <w:t xml:space="preserve"> </w:t>
      </w:r>
      <w:r>
        <w:rPr>
          <w:rStyle w:val="VerbatimChar"/>
        </w:rPr>
        <w:t xml:space="preserve">asm_ui_score</w:t>
      </w:r>
    </w:p>
    <w:p>
      <w:pPr>
        <w:pStyle w:val="BodyText"/>
      </w:pPr>
      <w:r>
        <w:rPr>
          <w:b/>
          <w:bCs/>
        </w:rPr>
        <w:t xml:space="preserve">At a Glance</w:t>
      </w:r>
    </w:p>
    <w:p>
      <w:pPr>
        <w:pStyle w:val="BodyText"/>
      </w:pPr>
      <w:r>
        <w:t xml:space="preserve">Measures the quality of the application’s interactive user interface after the application has completed loading.</w:t>
      </w:r>
    </w:p>
    <w:p>
      <w:pPr>
        <w:pStyle w:val="BodyText"/>
      </w:pPr>
      <w:r>
        <w:rPr>
          <w:b/>
          <w:bCs/>
        </w:rPr>
        <w:t xml:space="preserve">Purpose</w:t>
      </w:r>
    </w:p>
    <w:p>
      <w:pPr>
        <w:pStyle w:val="BodyText"/>
      </w:pPr>
      <w:r>
        <w:t xml:space="preserve">Provide a concise operational summary of the application’s interactive readiness based on measurements collected during the final stage of the synthetic journey.</w:t>
      </w:r>
    </w:p>
    <w:p>
      <w:pPr>
        <w:pStyle w:val="BodyText"/>
      </w:pPr>
      <w:r>
        <w:rPr>
          <w:b/>
          <w:bCs/>
        </w:rPr>
        <w:t xml:space="preserve">Calculation</w:t>
      </w:r>
    </w:p>
    <w:p>
      <w:pPr>
        <w:pStyle w:val="BodyText"/>
      </w:pPr>
      <w:r>
        <w:t xml:space="preserve">The UI Score is derived from the measurements collected after the application reaches its ready state.</w:t>
      </w:r>
    </w:p>
    <w:p>
      <w:pPr>
        <w:pStyle w:val="BodyText"/>
      </w:pPr>
      <w:r>
        <w:rPr>
          <w:b/>
          <w:bCs/>
        </w:rPr>
        <w:t xml:space="preserve">Formula</w:t>
      </w:r>
    </w:p>
    <w:p>
      <w:pPr>
        <w:pStyle w:val="BodyText"/>
      </w:pPr>
      <w:r>
        <w:rPr>
          <w:rStyle w:val="VerbatimChar"/>
        </w:rPr>
        <w:t xml:space="preserve">text id="mgg0xq" UI Score = (UI Readiness × Weight₁)</w:t>
      </w:r>
    </w:p>
    <w:p>
      <w:pPr>
        <w:pStyle w:val="BodyText"/>
      </w:pPr>
      <w:r>
        <w:rPr>
          <w:i/>
          <w:iCs/>
        </w:rPr>
        <w:t xml:space="preserve">The weighting shown above is illustrative. The implemented scoring algorithm defines the actual calculation used by ASM.</w:t>
      </w:r>
    </w:p>
    <w:p>
      <w:pPr>
        <w:pStyle w:val="BodyText"/>
      </w:pPr>
      <w:r>
        <w:rPr>
          <w:b/>
          <w:bCs/>
        </w:rPr>
        <w:t xml:space="preserve">Interpretation</w:t>
      </w:r>
    </w:p>
    <w:p>
      <w:pPr>
        <w:pStyle w:val="BodyText"/>
      </w:pPr>
      <w:r>
        <w:t xml:space="preserve">A consistently high UI Score indicates that the application becomes interactive reliably and consistently.</w:t>
      </w:r>
    </w:p>
    <w:p>
      <w:pPr>
        <w:pStyle w:val="BodyText"/>
      </w:pPr>
      <w:r>
        <w:t xml:space="preserve">A decreasing UI Score indicates that the application’s ready state should be investigated.</w:t>
      </w:r>
    </w:p>
    <w:p>
      <w:pPr>
        <w:pStyle w:val="BodyText"/>
      </w:pPr>
      <w:r>
        <w:t xml:space="preserve">The UI Score summarizes the interactive user experience but does not identify the specific measurement responsible for the change.</w:t>
      </w:r>
    </w:p>
    <w:p>
      <w:pPr>
        <w:pStyle w:val="BodyText"/>
      </w:pPr>
      <w:r>
        <w:rPr>
          <w:b/>
          <w:bCs/>
        </w:rPr>
        <w:t xml:space="preserve">Investigation Flow</w:t>
      </w:r>
    </w:p>
    <w:p>
      <w:pPr>
        <w:pStyle w:val="BodyText"/>
      </w:pPr>
      <w:r>
        <w:t xml:space="preserve">Review the following measurements:</w:t>
      </w:r>
    </w:p>
    <w:p>
      <w:pPr>
        <w:pStyle w:val="Compact"/>
        <w:numPr>
          <w:ilvl w:val="0"/>
          <w:numId w:val="1001"/>
        </w:numPr>
      </w:pPr>
      <w:r>
        <w:t xml:space="preserve">UI Readiness</w:t>
      </w:r>
    </w:p>
    <w:p>
      <w:pPr>
        <w:pStyle w:val="Compact"/>
        <w:numPr>
          <w:ilvl w:val="0"/>
          <w:numId w:val="1001"/>
        </w:numPr>
      </w:pPr>
      <w:r>
        <w:t xml:space="preserve">Application Load Time</w:t>
      </w:r>
    </w:p>
    <w:p>
      <w:pPr>
        <w:pStyle w:val="Compact"/>
        <w:numPr>
          <w:ilvl w:val="0"/>
          <w:numId w:val="1001"/>
        </w:numPr>
      </w:pPr>
      <w:r>
        <w:t xml:space="preserve">Total Journey Time</w:t>
      </w:r>
    </w:p>
    <w:p>
      <w:pPr>
        <w:pStyle w:val="FirstParagraph"/>
      </w:pPr>
      <w:r>
        <w:t xml:space="preserve">These measurements identify which stage of the final user experience contributed to the score.</w:t>
      </w:r>
    </w:p>
    <w:p>
      <w:pPr>
        <w:pStyle w:val="BodyText"/>
      </w:pPr>
      <w:r>
        <w:rPr>
          <w:b/>
          <w:bCs/>
        </w:rPr>
        <w:t xml:space="preserve">Common Questions</w:t>
      </w:r>
    </w:p>
    <w:p>
      <w:pPr>
        <w:pStyle w:val="BodyText"/>
      </w:pPr>
      <w:r>
        <w:rPr>
          <w:b/>
          <w:bCs/>
        </w:rPr>
        <w:t xml:space="preserve">Why did the UI Score decrease?</w:t>
      </w:r>
    </w:p>
    <w:p>
      <w:pPr>
        <w:pStyle w:val="BodyText"/>
      </w:pPr>
      <w:r>
        <w:t xml:space="preserve">Review the measurements collected after the application completed loading. The underlying measurements identify where additional investigation should begin.</w:t>
      </w:r>
    </w:p>
    <w:p>
      <w:pPr>
        <w:pStyle w:val="BodyText"/>
      </w:pPr>
      <w:r>
        <w:rPr>
          <w:b/>
          <w:bCs/>
        </w:rPr>
        <w:t xml:space="preserve">Limitations</w:t>
      </w:r>
    </w:p>
    <w:p>
      <w:pPr>
        <w:pStyle w:val="BodyText"/>
      </w:pPr>
      <w:r>
        <w:t xml:space="preserve">The UI Score summarizes the interactive user experience.</w:t>
      </w:r>
    </w:p>
    <w:p>
      <w:pPr>
        <w:pStyle w:val="BodyText"/>
      </w:pPr>
      <w:r>
        <w:t xml:space="preserve">Operational decisions should consider both the score and the underlying measurements.</w:t>
      </w:r>
    </w:p>
    <w:p>
      <w:pPr>
        <w:pStyle w:val="BodyText"/>
      </w:pPr>
      <w:r>
        <w:rPr>
          <w:b/>
          <w:bCs/>
        </w:rPr>
        <w:t xml:space="preserve">Confidence</w:t>
      </w:r>
    </w:p>
    <w:p>
      <w:pPr>
        <w:pStyle w:val="BodyText"/>
      </w:pPr>
      <w:r>
        <w:t xml:space="preserve">High (95%)</w:t>
      </w:r>
    </w:p>
    <w:p>
      <w:pPr>
        <w:pStyle w:val="BodyText"/>
      </w:pPr>
      <w:r>
        <w:rPr>
          <w:b/>
          <w:bCs/>
        </w:rPr>
        <w:t xml:space="preserve">Why:</w:t>
      </w:r>
    </w:p>
    <w:p>
      <w:pPr>
        <w:pStyle w:val="BodyText"/>
      </w:pPr>
      <w:r>
        <w:t xml:space="preserve">Derived directly from measurements collected during the same synthetic journey.</w:t>
      </w:r>
    </w:p>
    <w:p>
      <w:pPr>
        <w:pStyle w:val="BodyText"/>
      </w:pPr>
      <w:r>
        <w:rPr>
          <w:b/>
          <w:bCs/>
        </w:rPr>
        <w:t xml:space="preserve">Monitoring Visualization</w:t>
      </w:r>
    </w:p>
    <w:p>
      <w:pPr>
        <w:pStyle w:val="BodyText"/>
      </w:pPr>
      <w:r>
        <w:t xml:space="preserve">Suggested visualization:</w:t>
      </w:r>
    </w:p>
    <w:p>
      <w:pPr>
        <w:pStyle w:val="Compact"/>
        <w:numPr>
          <w:ilvl w:val="0"/>
          <w:numId w:val="1002"/>
        </w:numPr>
      </w:pPr>
      <w:r>
        <w:t xml:space="preserve">Stat</w:t>
      </w:r>
    </w:p>
    <w:p>
      <w:pPr>
        <w:pStyle w:val="Compact"/>
        <w:numPr>
          <w:ilvl w:val="0"/>
          <w:numId w:val="1002"/>
        </w:numPr>
      </w:pPr>
      <w:r>
        <w:t xml:space="preserve">Gauge</w:t>
      </w:r>
    </w:p>
    <w:p>
      <w:pPr>
        <w:pStyle w:val="FirstParagraph"/>
      </w:pPr>
      <w:r>
        <w:t xml:space="preserve">Suggested unit:</w:t>
      </w:r>
    </w:p>
    <w:p>
      <w:pPr>
        <w:pStyle w:val="Compact"/>
        <w:numPr>
          <w:ilvl w:val="0"/>
          <w:numId w:val="1003"/>
        </w:numPr>
      </w:pPr>
      <w:r>
        <w:t xml:space="preserve">Score (0–100)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2026-07-24T22:53:46Z</dcterms:created>
  <dcterms:modified xsi:type="dcterms:W3CDTF">2026-07-24T22:53:46Z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