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keepNext w:val="true"/>
        <w:keepLines/>
        <w:spacing w:before="160" w:after="80"/>
        <w:rPr/>
      </w:pPr>
      <w:bookmarkStart w:id="0" w:name="lighthouse-category-scores"/>
      <w:r>
        <w:rPr/>
        <w:t>Lighthouse Category Scores</w:t>
      </w:r>
    </w:p>
    <w:p>
      <w:pPr>
        <w:pStyle w:val="Heading3"/>
        <w:rPr/>
      </w:pPr>
      <w:bookmarkStart w:id="1" w:name="purpose"/>
      <w:r>
        <w:rPr/>
        <w:t>Purpose</w:t>
      </w:r>
    </w:p>
    <w:p>
      <w:pPr>
        <w:pStyle w:val="FirstParagraph"/>
        <w:rPr/>
      </w:pPr>
      <w:bookmarkStart w:id="2" w:name="purpose"/>
      <w:r>
        <w:rPr/>
        <w:t>Lighthouse Category Scores provide normalized assessments of selected aspects of the monitored application’s web experience. These scores supplement ASM’s synthetic journey measurements by evaluating the application against Lighthouse-defined performance and quality criteria.</w:t>
      </w:r>
      <w:bookmarkEnd w:id="2"/>
    </w:p>
    <w:p>
      <w:pPr>
        <w:pStyle w:val="Heading3"/>
        <w:rPr/>
      </w:pPr>
      <w:bookmarkStart w:id="3" w:name="collection"/>
      <w:r>
        <w:rPr/>
        <w:t>Collection</w:t>
      </w:r>
    </w:p>
    <w:p>
      <w:pPr>
        <w:pStyle w:val="FirstParagraph"/>
        <w:rPr/>
      </w:pPr>
      <w:r>
        <w:rPr/>
        <w:t>Lighthouse Category Scores are collected during the Lighthouse portion of the ASM execution. Lighthouse evaluates the monitored page using a collection of automated audits and combines the applicable audit results into category scores ranging from 0 to 100.</w:t>
      </w:r>
    </w:p>
    <w:p>
      <w:pPr>
        <w:pStyle w:val="BodyText"/>
        <w:rPr/>
      </w:pPr>
      <w:r>
        <w:rPr/>
        <w:t>The available categories may include:</w:t>
      </w:r>
    </w:p>
    <w:p>
      <w:pPr>
        <w:pStyle w:val="Compact"/>
        <w:numPr>
          <w:ilvl w:val="0"/>
          <w:numId w:val="1"/>
        </w:numPr>
        <w:rPr/>
      </w:pPr>
      <w:r>
        <w:rPr/>
        <w:t>Performance</w:t>
      </w:r>
    </w:p>
    <w:p>
      <w:pPr>
        <w:pStyle w:val="Compact"/>
        <w:numPr>
          <w:ilvl w:val="0"/>
          <w:numId w:val="1"/>
        </w:numPr>
        <w:rPr/>
      </w:pPr>
      <w:r>
        <w:rPr/>
        <w:t>Accessibility</w:t>
      </w:r>
    </w:p>
    <w:p>
      <w:pPr>
        <w:pStyle w:val="Compact"/>
        <w:numPr>
          <w:ilvl w:val="0"/>
          <w:numId w:val="1"/>
        </w:numPr>
        <w:rPr/>
      </w:pPr>
      <w:r>
        <w:rPr/>
        <w:t>Best Practices</w:t>
      </w:r>
    </w:p>
    <w:p>
      <w:pPr>
        <w:pStyle w:val="Compact"/>
        <w:numPr>
          <w:ilvl w:val="0"/>
          <w:numId w:val="1"/>
        </w:numPr>
        <w:rPr/>
      </w:pPr>
      <w:r>
        <w:rPr/>
        <w:t>Search Engine Optimization</w:t>
      </w:r>
    </w:p>
    <w:p>
      <w:pPr>
        <w:pStyle w:val="Compact"/>
        <w:numPr>
          <w:ilvl w:val="0"/>
          <w:numId w:val="1"/>
        </w:numPr>
        <w:rPr/>
      </w:pPr>
      <w:r>
        <w:rPr/>
        <w:t>Progressive Web App</w:t>
      </w:r>
    </w:p>
    <w:p>
      <w:pPr>
        <w:pStyle w:val="FirstParagraph"/>
        <w:rPr/>
      </w:pPr>
      <w:bookmarkStart w:id="4" w:name="collection"/>
      <w:r>
        <w:rPr/>
        <w:t>The categories produced may vary depending on the Lighthouse version, configuration, and whether sufficient information is available to calculate a score.</w:t>
      </w:r>
      <w:bookmarkEnd w:id="4"/>
    </w:p>
    <w:p>
      <w:pPr>
        <w:pStyle w:val="Heading3"/>
        <w:rPr/>
      </w:pPr>
      <w:bookmarkStart w:id="5" w:name="operational-significance"/>
      <w:r>
        <w:rPr/>
        <w:t>Operational Significance</w:t>
      </w:r>
    </w:p>
    <w:p>
      <w:pPr>
        <w:pStyle w:val="FirstParagraph"/>
        <w:rPr/>
      </w:pPr>
      <w:r>
        <w:rPr/>
        <w:t>Lighthouse Category Scores provide a broader technical assessment of the monitored page than the synthetic journey measurements alone.</w:t>
      </w:r>
    </w:p>
    <w:p>
      <w:pPr>
        <w:pStyle w:val="BodyText"/>
        <w:rPr/>
      </w:pPr>
      <w:r>
        <w:rPr/>
        <w:t>ASM journey metrics describe how long the monitored workflow takes and when the application becomes usable. Lighthouse scores evaluate characteristics such as rendering performance, accessibility, browser practices, and technical page quality.</w:t>
      </w:r>
    </w:p>
    <w:p>
      <w:pPr>
        <w:pStyle w:val="BodyText"/>
        <w:rPr/>
      </w:pPr>
      <w:bookmarkStart w:id="6" w:name="operational-significance"/>
      <w:r>
        <w:rPr/>
        <w:t>These measurements are related, but they are not interchangeable. A page may complete the synthetic journey successfully while receiving a lower Lighthouse score, or it may receive a strong Lighthouse score while the complete login journey remains slower than expected.</w:t>
      </w:r>
      <w:bookmarkEnd w:id="6"/>
    </w:p>
    <w:p>
      <w:pPr>
        <w:pStyle w:val="Heading3"/>
        <w:rPr/>
      </w:pPr>
      <w:bookmarkStart w:id="7" w:name="interpretation"/>
      <w:r>
        <w:rPr/>
        <w:t>Interpretation</w:t>
      </w:r>
    </w:p>
    <w:p>
      <w:pPr>
        <w:pStyle w:val="FirstParagraph"/>
        <w:rPr/>
      </w:pPr>
      <w:r>
        <w:rPr/>
        <w:t>Lighthouse Category Scores should be interpreted as supporting diagnostic indicators rather than direct representations of the complete user journey.</w:t>
      </w:r>
    </w:p>
    <w:p>
      <w:pPr>
        <w:pStyle w:val="BodyText"/>
        <w:rPr/>
      </w:pPr>
      <w:r>
        <w:rPr/>
        <w:t>A sustained decrease in a category score may indicate that the monitored page or its underlying resources have changed. Operators should review the individual Lighthouse audit metrics associated with the affected category to determine which findings contributed to the change.</w:t>
      </w:r>
    </w:p>
    <w:p>
      <w:pPr>
        <w:pStyle w:val="BodyText"/>
        <w:rPr/>
      </w:pPr>
      <w:bookmarkStart w:id="8" w:name="interpretation"/>
      <w:r>
        <w:rPr/>
        <w:t>Scores should also be interpreted within the context of the monitored application. Some Lighthouse recommendations may be less operationally significant for an authenticated enterprise application than for a public website. The score identifies an area that may warrant investigation, but the individual audit results provide the evidence needed to determine whether action is appropriate.</w:t>
      </w:r>
      <w:bookmarkEnd w:id="8"/>
    </w:p>
    <w:p>
      <w:pPr>
        <w:pStyle w:val="Heading3"/>
        <w:rPr/>
      </w:pPr>
      <w:bookmarkStart w:id="9" w:name="monitoring-threshold-guidance"/>
      <w:r>
        <w:rPr/>
        <w:t>Monitoring Threshold Guidance</w:t>
      </w:r>
    </w:p>
    <w:p>
      <w:pPr>
        <w:pStyle w:val="FirstParagraph"/>
        <w:rPr/>
      </w:pPr>
      <w:r>
        <w:rPr/>
        <w:t>Lighthouse Category Scores may be monitored for sustained changes from an established baseline. Because acceptable scores depend on the application, environment, Lighthouse version, and organizational expectations, universal alert thresholds are not recommended.</w:t>
      </w:r>
    </w:p>
    <w:p>
      <w:pPr>
        <w:pStyle w:val="BodyText"/>
        <w:spacing w:before="180" w:after="180"/>
        <w:rPr/>
      </w:pPr>
      <w:bookmarkStart w:id="10" w:name="lighthouse-category-scores"/>
      <w:bookmarkStart w:id="11" w:name="monitoring-threshold-guidance"/>
      <w:r>
        <w:rPr/>
        <w:t>Operators should place greater emphasis on meaningful score degradation over time than on isolated fluctuations between executions. When a score changes unexpectedly, the associated Lighthouse audit metrics should be reviewed before determining whether corrective action is required.</w:t>
      </w:r>
      <w:bookmarkEnd w:id="10"/>
      <w:bookmarkEnd w:id="11"/>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BodyText"/>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BodyText"/>
    <w:link w:val="Heading3Char"/>
    <w:uiPriority w:val="9"/>
    <w:semiHidden/>
    <w:unhideWhenUsed/>
    <w:qFormat/>
    <w:rsid w:val="00a10fd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a10fd9"/>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link w:val="Heading1"/>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Title"/>
    <w:next w:val="BodyText"/>
    <w:link w:val="SubtitleChar"/>
    <w:uiPriority w:val="11"/>
    <w:qFormat/>
    <w:rsid w:val="00a10fd9"/>
    <w:pPr/>
    <w:rPr>
      <w:rFonts w:eastAsia="" w:cs="" w:cstheme="majorBidi" w:eastAsiaTheme="majorEastAsia"/>
      <w:spacing w:val="15"/>
      <w:sz w:val="28"/>
      <w:szCs w:val="28"/>
    </w:rPr>
  </w:style>
  <w:style w:type="paragraph" w:styleId="Author" w:customStyle="1">
    <w:name w:val="Author"/>
    <w:next w:val="BodyText"/>
    <w:qFormat/>
    <w:pPr>
      <w:keepNext w:val="true"/>
      <w:keepLines/>
      <w:widowControl/>
      <w:bidi w:val="0"/>
      <w:spacing w:before="0" w:after="200"/>
      <w:jc w:val="center"/>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2</Pages>
  <Words>393</Words>
  <Characters>2562</Characters>
  <CharactersWithSpaces>2927</CharactersWithSpaces>
  <Paragraphs>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2026-07-25T01:19:00Z</dcterms:created>
  <dc:creator/>
  <dc:description/>
  <dc:language>en-US</dc:language>
  <cp:lastModifiedBy/>
  <dcterms:modified xsi:type="dcterms:W3CDTF">2026-07-25T01:19:00Z</dcterms:modified>
  <cp:revision>0</cp:revision>
  <dc:subject/>
  <dc:title/>
</cp:coreProperties>
</file>

<file path=docProps/custom.xml><?xml version="1.0" encoding="utf-8"?>
<Properties xmlns="http://schemas.openxmlformats.org/officeDocument/2006/custom-properties" xmlns:vt="http://schemas.openxmlformats.org/officeDocument/2006/docPropsVTypes"/>
</file>