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2D3D"/>
          <w:sz w:val="40"/>
        </w:rPr>
        <w:t>Subhash Chandra Yadav</w:t>
      </w:r>
    </w:p>
    <w:p>
      <w:r>
        <w:rPr>
          <w:rFonts w:ascii="Calibri" w:hAnsi="Calibri"/>
          <w:color w:val="555555"/>
          <w:sz w:val="18"/>
        </w:rPr>
        <w:t>+45 9180 7190  ·  syadav@allthingsagile.net  ·  linkedin.com/in/subhashchandrayadav  ·  Copenhagen, Denmark</w:t>
      </w:r>
    </w:p>
    <w:p>
      <w:pPr>
        <w:spacing w:after="240"/>
      </w:pPr>
      <w:r>
        <w:rPr>
          <w:rFonts w:ascii="Calibri" w:hAnsi="Calibri"/>
          <w:color w:val="2E75B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320"/>
      </w:pPr>
      <w:r>
        <w:rPr>
          <w:rFonts w:ascii="Calibri" w:hAnsi="Calibri"/>
          <w:b/>
          <w:color w:val="1F2D3D"/>
          <w:sz w:val="22"/>
        </w:rPr>
        <w:t>Re: Senior Program Manager — Saxo</w:t>
      </w:r>
    </w:p>
    <w:p>
      <w:pPr>
        <w:spacing w:after="200" w:line="280" w:lineRule="exact"/>
      </w:pPr>
      <w:r>
        <w:rPr>
          <w:rFonts w:ascii="Calibri" w:hAnsi="Calibri"/>
          <w:color w:val="1F2D3D"/>
          <w:sz w:val="21"/>
        </w:rPr>
        <w:t>The Group PMO role at Saxo caught my attention for a specific reason: it sits at the intersection of portfolio governance and real transformation delivery — not one or the other. Having spent the last few years doing exactly that kind of work in complex, international environments, I recognise the shape of this challenge and I'm confident I can contribute from day one.</w:t>
      </w:r>
    </w:p>
    <w:p>
      <w:pPr>
        <w:spacing w:after="200" w:line="280" w:lineRule="exact"/>
      </w:pPr>
      <w:r>
        <w:rPr>
          <w:rFonts w:ascii="Calibri" w:hAnsi="Calibri"/>
          <w:color w:val="1F2D3D"/>
          <w:sz w:val="21"/>
        </w:rPr>
        <w:t>My background maps closely to what you're looking for. At APM Terminals, I designed and ran a PMO governance framework from scratch — covering intake, prioritisation, milestone tracking, and escalation — across a $10M+ technology portfolio spanning customer-facing products, a central data integration layer, and global terminal operations. I've led annual and quarterly planning cycles at CIO-1 level, governed external vendor relationships, and coached engineering teams through measurable efficiency improvements. I'm equally at home setting governance standards and rolling up my sleeves to get delivery back on track.</w:t>
      </w:r>
    </w:p>
    <w:p>
      <w:pPr>
        <w:spacing w:after="200" w:line="280" w:lineRule="exact"/>
      </w:pPr>
      <w:r>
        <w:rPr>
          <w:rFonts w:ascii="Calibri" w:hAnsi="Calibri"/>
          <w:color w:val="1F2D3D"/>
          <w:sz w:val="21"/>
        </w:rPr>
        <w:t>One example that speaks directly to this role: when a 6+ hour terminal data outage cost APM Terminals several million dollars, I co-authored the formal business case — current-state assessment, risk of inaction, investment glide path, and projected ROI — and presented it to the SLT. It was accepted with minimal pushback and secured PoC funding. That kind of work — translating a complex operational problem into a clear, decision-ready case for leadership — is where I've consistently added the most value.</w:t>
      </w:r>
    </w:p>
    <w:p>
      <w:pPr>
        <w:spacing w:after="200" w:line="280" w:lineRule="exact"/>
      </w:pPr>
      <w:r>
        <w:rPr>
          <w:rFonts w:ascii="Calibri" w:hAnsi="Calibri"/>
          <w:color w:val="1F2D3D"/>
          <w:sz w:val="21"/>
        </w:rPr>
        <w:t>I'd welcome the chance to talk through the role in more detail and explore whether there's a good fit on both sides.</w:t>
      </w:r>
    </w:p>
    <w:p>
      <w:r>
        <w:rPr>
          <w:rFonts w:ascii="Calibri" w:hAnsi="Calibri"/>
          <w:color w:val="1F2D3D"/>
          <w:sz w:val="21"/>
        </w:rPr>
        <w:t>Kind regards,</w:t>
      </w:r>
    </w:p>
    <w:p>
      <w:r>
        <w:rPr>
          <w:rFonts w:ascii="Calibri" w:hAnsi="Calibri"/>
          <w:b/>
          <w:color w:val="1F2D3D"/>
          <w:sz w:val="21"/>
        </w:rPr>
        <w:t>Subhash Chandra Yadav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