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52"/>
        </w:rPr>
        <w:t>SVF</w:t>
      </w:r>
    </w:p>
    <w:p>
      <w:pPr>
        <w:spacing w:after="40"/>
      </w:pPr>
      <w:r>
        <w:rPr>
          <w:b/>
          <w:i w:val="0"/>
          <w:color w:val="1F497D"/>
          <w:sz w:val="32"/>
        </w:rPr>
        <w:t>Project Documentation</w:t>
      </w:r>
    </w:p>
    <w:p>
      <w:pPr>
        <w:spacing w:after="40"/>
      </w:pPr>
      <w:r>
        <w:rPr>
          <w:b/>
          <w:i w:val="0"/>
          <w:color w:val="606060"/>
          <w:sz w:val="26"/>
        </w:rPr>
        <w:t>Part 2 of 2  —  Data, Internals, Status &amp; Reference</w:t>
      </w:r>
    </w:p>
    <w:p>
      <w:pPr>
        <w:spacing w:after="200"/>
      </w:pPr>
      <w:r>
        <w:rPr>
          <w:b w:val="0"/>
          <w:i/>
          <w:color w:val="606060"/>
        </w:rPr>
        <w:t>Sections 6-10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705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b w:val="0"/>
                <w:sz w:val="18"/>
              </w:rPr>
              <w:t>Last updated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b w:val="0"/>
                <w:sz w:val="18"/>
              </w:rPr>
              <w:t>2026-07-30</w:t>
            </w:r>
          </w:p>
        </w:tc>
      </w:tr>
      <w:tr>
        <w:tc>
          <w:tcPr>
            <w:tcW w:type="dxa" w:w="2304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Repository</w:t>
            </w:r>
          </w:p>
        </w:tc>
        <w:tc>
          <w:tcPr>
            <w:tcW w:type="dxa" w:w="7056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subha-sh-11/SVF  (deployed on Vercel)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b w:val="0"/>
                <w:sz w:val="18"/>
              </w:rPr>
              <w:t>Contributor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b w:val="0"/>
                <w:sz w:val="18"/>
              </w:rPr>
              <w:t>subha-sh-11  (subhashraj_k@lorvenaistudio.com)</w:t>
            </w:r>
          </w:p>
        </w:tc>
      </w:tr>
      <w:tr>
        <w:tc>
          <w:tcPr>
            <w:tcW w:type="dxa" w:w="2304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History span</w:t>
            </w:r>
          </w:p>
        </w:tc>
        <w:tc>
          <w:tcPr>
            <w:tcW w:type="dxa" w:w="7056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2026-07-16 -&gt; 2026-07-29  (19 commits)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b w:val="0"/>
                <w:sz w:val="18"/>
              </w:rPr>
              <w:t>Document set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b w:val="0"/>
                <w:sz w:val="18"/>
              </w:rPr>
              <w:t>Part 2 of 2  —  Data, Internals, Status &amp; Reference  —  see the companion part for the rest</w:t>
            </w:r>
          </w:p>
        </w:tc>
      </w:tr>
    </w:tbl>
    <w:p>
      <w:pPr>
        <w:spacing w:after="40"/>
      </w:pPr>
    </w:p>
    <w:p>
      <w:pPr>
        <w:pStyle w:val="Heading1"/>
      </w:pPr>
      <w:r>
        <w:t>6. Data Model (PostgreSQL)</w:t>
      </w:r>
    </w:p>
    <w:p>
      <w:pPr>
        <w:spacing w:after="120"/>
      </w:pPr>
      <w:r>
        <w:rPr>
          <w:b w:val="0"/>
          <w:i w:val="0"/>
        </w:rPr>
        <w:t>Tables are created lazily on first use (CREATE TABLE IF NOT EXISTS) and seeded/migrated in code.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Table</w:t>
            </w:r>
          </w:p>
        </w:tc>
        <w:tc>
          <w:tcPr>
            <w:tcW w:type="dxa" w:w="273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489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Key columns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b w:val="0"/>
                <w:sz w:val="18"/>
              </w:rPr>
              <w:t>theatres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b w:val="0"/>
                <w:sz w:val="18"/>
              </w:rPr>
              <w:t>Nizam theatre catalogue (seeded)</w:t>
            </w:r>
          </w:p>
        </w:tc>
        <w:tc>
          <w:tcPr>
            <w:tcW w:type="dxa" w:w="4896"/>
          </w:tcPr>
          <w:p>
            <w:pPr>
              <w:spacing w:after="40"/>
            </w:pPr>
            <w:r>
              <w:rPr>
                <w:b w:val="0"/>
                <w:sz w:val="18"/>
              </w:rPr>
              <w:t>id, district, centre, theatre, format, type, screen_count, capacity, hfc_total, screens (JSONB)</w:t>
            </w:r>
          </w:p>
        </w:tc>
      </w:tr>
      <w:tr>
        <w:tc>
          <w:tcPr>
            <w:tcW w:type="dxa" w:w="1728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movies</w:t>
            </w:r>
          </w:p>
        </w:tc>
        <w:tc>
          <w:tcPr>
            <w:tcW w:type="dxa" w:w="2736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Movie/report metadata</w:t>
            </w:r>
          </w:p>
        </w:tc>
        <w:tc>
          <w:tcPr>
            <w:tcW w:type="dxa" w:w="4896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id (mov-...), name, release, created_at, owner_email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b w:val="0"/>
                <w:sz w:val="18"/>
              </w:rPr>
              <w:t>movie_sheets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b w:val="0"/>
                <w:sz w:val="18"/>
              </w:rPr>
              <w:t>The Univer spreadsheet blob</w:t>
            </w:r>
          </w:p>
        </w:tc>
        <w:tc>
          <w:tcPr>
            <w:tcW w:type="dxa" w:w="4896"/>
          </w:tcPr>
          <w:p>
            <w:pPr>
              <w:spacing w:after="40"/>
            </w:pPr>
            <w:r>
              <w:rPr>
                <w:b w:val="0"/>
                <w:sz w:val="18"/>
              </w:rPr>
              <w:t>movie_id (PK), data (JSONB), version, updated_by, updated_at</w:t>
            </w:r>
          </w:p>
        </w:tc>
      </w:tr>
      <w:tr>
        <w:tc>
          <w:tcPr>
            <w:tcW w:type="dxa" w:w="1728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movie_shares</w:t>
            </w:r>
          </w:p>
        </w:tc>
        <w:tc>
          <w:tcPr>
            <w:tcW w:type="dxa" w:w="2736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Per-user movie access</w:t>
            </w:r>
          </w:p>
        </w:tc>
        <w:tc>
          <w:tcPr>
            <w:tcW w:type="dxa" w:w="4896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(movie_id, email) PK, role (editor/viewer), created_at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b w:val="0"/>
                <w:sz w:val="18"/>
              </w:rPr>
              <w:t>reps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b w:val="0"/>
                <w:sz w:val="18"/>
              </w:rPr>
              <w:t>Representatives</w:t>
            </w:r>
          </w:p>
        </w:tc>
        <w:tc>
          <w:tcPr>
            <w:tcW w:type="dxa" w:w="4896"/>
          </w:tcPr>
          <w:p>
            <w:pPr>
              <w:spacing w:after="40"/>
            </w:pPr>
            <w:r>
              <w:rPr>
                <w:b w:val="0"/>
                <w:sz w:val="18"/>
              </w:rPr>
              <w:t>id, name, email, phone, region, color, status, role_id</w:t>
            </w:r>
          </w:p>
        </w:tc>
      </w:tr>
      <w:tr>
        <w:tc>
          <w:tcPr>
            <w:tcW w:type="dxa" w:w="1728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reports</w:t>
            </w:r>
          </w:p>
        </w:tc>
        <w:tc>
          <w:tcPr>
            <w:tcW w:type="dxa" w:w="2736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Rep sales submissions</w:t>
            </w:r>
          </w:p>
        </w:tc>
        <w:tc>
          <w:tcPr>
            <w:tcW w:type="dxa" w:w="4896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id, rep_id, key, theatre/screen/movie info, seats/collection totals, occupancy, status, submitted_at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606060"/>
        </w:rPr>
        <w:t>Note: roles and admin-managed users currently live in browser localStorage (svf.roles.v1, svf.users.v1), not Postgres - a candidate for future migration to the DB.</w:t>
      </w:r>
    </w:p>
    <w:p>
      <w:pPr>
        <w:pStyle w:val="Heading1"/>
      </w:pPr>
      <w:r>
        <w:t>7. The Excel -&gt; Univer Rendering Pipeline (deep dive)</w:t>
      </w:r>
    </w:p>
    <w:p>
      <w:pPr>
        <w:spacing w:after="120"/>
      </w:pPr>
      <w:r>
        <w:rPr>
          <w:b w:val="0"/>
          <w:i w:val="0"/>
        </w:rPr>
        <w:t>xlsxToUniver.ts is the heart of the Movies workspace and the focus of most recent work. It:</w:t>
      </w:r>
    </w:p>
    <w:p>
      <w:pPr>
        <w:pStyle w:val="ListNumber"/>
        <w:spacing w:after="40"/>
      </w:pPr>
      <w:r>
        <w:rPr>
          <w:sz w:val="20"/>
        </w:rPr>
        <w:t>Parses the workbook with ExcelJS and reads the real theme palette.</w:t>
      </w:r>
    </w:p>
    <w:p>
      <w:pPr>
        <w:pStyle w:val="ListNumber"/>
        <w:spacing w:after="40"/>
      </w:pPr>
      <w:r>
        <w:rPr>
          <w:sz w:val="20"/>
        </w:rPr>
        <w:t>Pass 1 - captures every cell with a value or style; tracks the first bordered row (the table top) to separate the heading block.</w:t>
      </w:r>
    </w:p>
    <w:p>
      <w:pPr>
        <w:pStyle w:val="ListNumber"/>
        <w:spacing w:after="40"/>
      </w:pPr>
      <w:r>
        <w:rPr>
          <w:sz w:val="20"/>
        </w:rPr>
        <w:t>Pass 2 - captures colored-fill empty cells within the data range so a colored column reads continuously (the green audience columns), not only where a number sits.</w:t>
      </w:r>
    </w:p>
    <w:p>
      <w:pPr>
        <w:pStyle w:val="ListNumber"/>
        <w:spacing w:after="40"/>
      </w:pPr>
      <w:r>
        <w:rPr>
          <w:sz w:val="20"/>
        </w:rPr>
        <w:t>Heading white-fill - every cell above the first bordered row gets a white fill so the black gridlines don't show through the title area.</w:t>
      </w:r>
    </w:p>
    <w:p>
      <w:pPr>
        <w:pStyle w:val="ListNumber"/>
        <w:spacing w:after="40"/>
      </w:pPr>
      <w:r>
        <w:rPr>
          <w:sz w:val="20"/>
        </w:rPr>
        <w:t>Rebuilds merged ranges, column widths, and row heights (points -&gt; pixels, floored so 14pt text isn't cramped).</w:t>
      </w:r>
    </w:p>
    <w:p>
      <w:pPr>
        <w:pStyle w:val="ListNumber"/>
        <w:spacing w:after="40"/>
      </w:pPr>
      <w:r>
        <w:rPr>
          <w:sz w:val="20"/>
        </w:rPr>
        <w:t>Emits the sheet with black gridlines on, the grid clamped to the true data extent, and the special 'Spl-1/2/3' columns hidden (toggleable in the toolbar).</w:t>
      </w:r>
    </w:p>
    <w:p>
      <w:pPr>
        <w:spacing w:after="80"/>
      </w:pPr>
      <w:r>
        <w:rPr>
          <w:b/>
          <w:i w:val="0"/>
        </w:rPr>
        <w:t>Deliberate design choices made during fidelity work:</w:t>
      </w:r>
    </w:p>
    <w:p>
      <w:pPr>
        <w:pStyle w:val="ListBullet"/>
        <w:spacing w:after="40"/>
      </w:pPr>
      <w:r>
        <w:rPr>
          <w:b w:val="0"/>
        </w:rPr>
        <w:t>Column count trimmed to the real content extent (no wall of empty bold columns).</w:t>
      </w:r>
    </w:p>
    <w:p>
      <w:pPr>
        <w:pStyle w:val="ListBullet"/>
        <w:spacing w:after="40"/>
      </w:pPr>
      <w:r>
        <w:rPr>
          <w:b w:val="0"/>
        </w:rPr>
        <w:t>Black gridlines act as the uniform 'bold grid' the reports use.</w:t>
      </w:r>
    </w:p>
    <w:p>
      <w:pPr>
        <w:pStyle w:val="ListBullet"/>
        <w:spacing w:after="40"/>
      </w:pPr>
      <w:r>
        <w:rPr>
          <w:b w:val="0"/>
        </w:rPr>
        <w:t>The source Excel's own hidden-column flags are intentionally NOT preserved - those templates hide the Noon/Matinee show columns even though those carry green audience data the user must see.</w:t>
      </w:r>
    </w:p>
    <w:p>
      <w:pPr>
        <w:pStyle w:val="Heading1"/>
      </w:pPr>
      <w:r>
        <w:t>8. Current Status &amp; Open Items (as of 30 Jul 2026)</w:t>
      </w:r>
    </w:p>
    <w:p>
      <w:pPr>
        <w:spacing w:after="80"/>
      </w:pPr>
      <w:r>
        <w:rPr>
          <w:b/>
          <w:i w:val="0"/>
        </w:rPr>
        <w:t>In progress - spreadsheet color fidelity: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Green audience columns</w:t>
      </w:r>
      <w:r>
        <w:rPr>
          <w:b w:val="0"/>
        </w:rPr>
        <w:t xml:space="preserve"> (C3D69B) - capacity + audience columns (E, O, Q, S, U, W, AA, AE) should read as continuous green stripes like the source.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Yellow gross columns</w:t>
      </w:r>
      <w:r>
        <w:rPr>
          <w:b w:val="0"/>
        </w:rPr>
        <w:t xml:space="preserve"> (FFFF00) - a 'continuous-green' gap-fill experiment (Phase 4) also filled the yellow collection columns solid, painting yellow into empty rows where the source has none. Investigation confirmed, against the source file:</w:t>
      </w:r>
    </w:p>
    <w:p>
      <w:pPr>
        <w:pStyle w:val="ListBullet2"/>
        <w:spacing w:after="40"/>
      </w:pPr>
      <w:r>
        <w:rPr>
          <w:b w:val="0"/>
        </w:rPr>
        <w:t>The PREMIERE SHOW sheet has no yellow (green + white only).</w:t>
      </w:r>
    </w:p>
    <w:p>
      <w:pPr>
        <w:pStyle w:val="ListBullet2"/>
        <w:spacing w:after="40"/>
      </w:pPr>
      <w:r>
        <w:rPr>
          <w:b w:val="0"/>
        </w:rPr>
        <w:t>The day sheets have yellow only on data rows - 0 yellow on empty rows (verified on 15TH DAY: 4,014 yellow cells on data rows, 0 on empty rows).</w:t>
      </w:r>
    </w:p>
    <w:p>
      <w:pPr>
        <w:pStyle w:val="ListBullet2"/>
        <w:spacing w:after="40"/>
      </w:pPr>
      <w:r>
        <w:rPr>
          <w:b w:val="0"/>
        </w:rPr>
        <w:t>Conclusion: the spurious yellow is baked into movies uploaded while the gap-fill code was live; the current converter has no gap-fill and renders faithfully. Fix path: re-upload affected movies (or restrict any gap-fill strictly to the green color).</w:t>
      </w:r>
    </w:p>
    <w:p>
      <w:pPr>
        <w:spacing w:after="120"/>
      </w:pPr>
      <w:r>
        <w:rPr>
          <w:b w:val="0"/>
          <w:i/>
          <w:color w:val="606060"/>
        </w:rPr>
        <w:t>Not committed: the Phase 4 investigation and edits are local only.</w:t>
      </w:r>
    </w:p>
    <w:p>
      <w:pPr>
        <w:pStyle w:val="Heading1"/>
      </w:pPr>
      <w:r>
        <w:t>9. Development &amp; Deployment Notes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Env &amp; secrets</w:t>
      </w:r>
      <w:r>
        <w:rPr>
          <w:b w:val="0"/>
        </w:rPr>
        <w:t xml:space="preserve"> - DATABASE_URL and AUTH_SECRET live only in the gitignored frontend/.env.local; never committed. DB connects with SSL.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Seeding</w:t>
      </w:r>
      <w:r>
        <w:rPr>
          <w:b w:val="0"/>
        </w:rPr>
        <w:t xml:space="preserve"> - npm run seed loads theatres.json into the theatres table.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Build config</w:t>
      </w:r>
      <w:r>
        <w:rPr>
          <w:b w:val="0"/>
        </w:rPr>
        <w:t xml:space="preserve"> - ESLint and TS errors are skipped during next build so Vercel deploys don't block on lint.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Deployment</w:t>
      </w:r>
      <w:r>
        <w:rPr>
          <w:b w:val="0"/>
        </w:rPr>
        <w:t xml:space="preserve"> - Vercel auto-deploys from GitHub subha-sh-11/SVF; production can lag local until a push/deploy happens.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Type-checking safely</w:t>
      </w:r>
      <w:r>
        <w:rPr>
          <w:b w:val="0"/>
        </w:rPr>
        <w:t xml:space="preserve"> - verify with node_modules/.bin/tsc --noEmit rather than running next build while the dev server is up.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Default credentials</w:t>
      </w:r>
      <w:r>
        <w:rPr>
          <w:b w:val="0"/>
        </w:rPr>
        <w:t xml:space="preserve"> (dev, env-overridable): admin admin@svf.in / Admin@321, user user@svf.in / 123456789.</w:t>
      </w:r>
    </w:p>
    <w:p>
      <w:pPr>
        <w:pStyle w:val="Heading1"/>
      </w:pPr>
      <w:r>
        <w:t>10. Commit Reference (newest -&gt; oldest)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d442611  2026-07-29 17:46  issue fixed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4dbe7b8  2026-07-29 12:28  issue fixed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bb9a090  2026-07-27 18:06  Issues Fixed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c5f63aa  2026-07-27 17:31  Issues Fixed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15c7cb6  2026-07-27 16:52  Issues Fixed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15614fc  2026-07-27 13:53  Issues Fixed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4da7022  2026-07-24 13:36  ver2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b30fe46  2026-07-23 16:45  ver2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b6b7fa1  2026-07-23 16:32  ver2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d5fe800  2026-07-23 16:22  ver2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b911dc2  2026-07-23 11:38  Fix movie-open crash + collab blank + loading card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8f6b548  2026-07-22 18:02  Univer spreadsheets, app-user accounts, sharing, and fixes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ec92f11  2026-07-21 17:50  Skip ESLint during build so Vercel deploy passes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811c69b  2026-07-21 17:47  Skip ESLint during build so Vercel deploy passes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491d1d3  2026-07-21 17:28  Skip ESLint during build so Vercel deploy passes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02bf7d2  2026-07-21 17:20  V1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bcff6ed  2026-07-16 17:47  DB-backed theatres + admin login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434d4d5  2026-07-16 13:14  Add frontend app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5cc0127  2026-07-16 13:11  Initial commit: SVF admin frontend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9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97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