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8"/>
          <w:szCs w:val="48"/>
        </w:rPr>
        <w:t xml:space="preserve">BUSINESS REQUIREMENTS DOCUMENT</w:t>
      </w:r>
    </w:p>
    <w:p>
      <w:pPr>
        <w:spacing w:after="600" w:before="200"/>
        <w:jc w:val="center"/>
      </w:pPr>
      <w:r>
        <w:rPr>
          <w:i/>
          <w:iCs/>
          <w:color w:val="2E5395"/>
          <w:sz w:val="28"/>
          <w:szCs w:val="28"/>
        </w:rPr>
        <w:t>Pitch Deck — AI-Powered Cinematic Pitch Deck Builder</w:t>
      </w:r>
    </w:p>
    <w:p>
      <w:pPr>
        <w:spacing w:after="80"/>
        <w:jc w:val="center"/>
      </w:pPr>
      <w:r>
        <w:rPr>
          <w:sz w:val="22"/>
          <w:szCs w:val="22"/>
        </w:rPr>
        <w:t>Module Reference: 1.0</w:t>
      </w:r>
    </w:p>
    <w:p>
      <w:pPr>
        <w:spacing w:after="80"/>
        <w:jc w:val="center"/>
      </w:pPr>
      <w:r>
        <w:rPr>
          <w:sz w:val="22"/>
          <w:szCs w:val="22"/>
        </w:rPr>
        <w:t xml:space="preserve">Document Type: Business Requirements Document (BRD)</w:t>
      </w:r>
    </w:p>
    <w:p>
      <w:pPr>
        <w:spacing w:after="80"/>
        <w:jc w:val="center"/>
      </w:pPr>
      <w:r>
        <w:rPr>
          <w:sz w:val="22"/>
          <w:szCs w:val="22"/>
        </w:rPr>
        <w:t xml:space="preserve">Version: 1.0 — Draft</w:t>
      </w:r>
    </w:p>
    <w:p>
      <w:pPr>
        <w:spacing w:after="1200"/>
        <w:jc w:val="center"/>
      </w:pPr>
      <w:r>
        <w:rPr>
          <w:sz w:val="22"/>
          <w:szCs w:val="22"/>
        </w:rPr>
        <w:t>Date: July 10, 2026</w:t>
      </w:r>
    </w:p>
    <w:p>
      <w:r>
        <w:br w:type="page"/>
      </w:r>
    </w:p>
    <w:p>
      <w:pPr>
        <w:pStyle w:val="Heading1"/>
        <w:pBdr>
          <w:bottom w:val="single" w:color="1F3864" w:sz="8" w:space="4"/>
        </w:pBdr>
        <w:spacing w:after="160" w:before="360"/>
      </w:pPr>
      <w:r>
        <w:rPr>
          <w:b/>
          <w:bCs/>
          <w:color w:val="1F3864"/>
          <w:sz w:val="28"/>
          <w:szCs w:val="28"/>
        </w:rPr>
        <w:t xml:space="preserve">1. Document Purpose &amp; Scope of This BRD</w:t>
      </w:r>
    </w:p>
    <w:p>
      <w:pPr>
        <w:spacing w:after="140"/>
      </w:pPr>
      <w:r>
        <w:rPr>
          <w:sz w:val="22"/>
          <w:szCs w:val="22"/>
        </w:rPr>
        <w:t>This Business Requirements Document (BRD) defines the business rationale, objectives, stakeholders, scope, and success measures for the Pitch Deck initiative. It sits upstream of the Product Requirements Document (PRD), which translates these business needs into detailed user stories, functional requirements, and module specifications.</w:t>
      </w:r>
    </w:p>
    <w:p>
      <w:pPr>
        <w:spacing w:after="140"/>
      </w:pPr>
      <w:r>
        <w:rPr>
          <w:sz w:val="22"/>
          <w:szCs w:val="22"/>
        </w:rPr>
        <w:t>This BRD does not define product features, screens, or workflows in detail — those are owned by the PRD. This document instead answers: why is this initiative being undertaken, who is it for, what business outcomes justify the investment, and what defines success at the business level.</w:t>
      </w:r>
    </w:p>
    <w:p>
      <w:pPr>
        <w:pStyle w:val="Heading1"/>
        <w:pBdr>
          <w:bottom w:val="single" w:color="1F3864" w:sz="8" w:space="4"/>
        </w:pBdr>
        <w:spacing w:after="160" w:before="360"/>
      </w:pPr>
      <w:r>
        <w:rPr>
          <w:b/>
          <w:bCs/>
          <w:color w:val="1F3864"/>
          <w:sz w:val="28"/>
          <w:szCs w:val="28"/>
        </w:rPr>
        <w:t xml:space="preserve">2. Business Background &amp; Problem Statement</w:t>
      </w:r>
    </w:p>
    <w:p>
      <w:pPr>
        <w:spacing w:after="140"/>
      </w:pPr>
      <w:r>
        <w:rPr>
          <w:sz w:val="22"/>
          <w:szCs w:val="22"/>
        </w:rPr>
        <w:t>Film and series creators — directors, screenwriters, and producers — currently rely on manual, time-intensive, and often costly processes to turn a story idea into a compelling pitch deck for investors and studios. Traditional pitch decks require designers, concept artists, and market research, along with lengthy iteration that slows down the pitch and greenlight process.</w:t>
      </w:r>
    </w:p>
    <w:p>
      <w:pPr>
        <w:spacing w:after="140"/>
      </w:pPr>
      <w:r>
        <w:rPr>
          <w:sz w:val="22"/>
          <w:szCs w:val="22"/>
        </w:rPr>
        <w:t xml:space="preserve">This creates the following business problems:</w:t>
      </w:r>
    </w:p>
    <w:p>
      <w:pPr>
        <w:pStyle w:val="ListParagraph"/>
        <w:numPr>
          <w:ilvl w:val="0"/>
          <w:numId w:val="2"/>
        </w:numPr>
        <w:spacing w:after="80"/>
      </w:pPr>
      <w:r>
        <w:rPr>
          <w:sz w:val="22"/>
          <w:szCs w:val="22"/>
        </w:rPr>
        <w:t>High cost and long lead times to produce professional-quality, presentation-ready pitch decks.</w:t>
      </w:r>
    </w:p>
    <w:p>
      <w:pPr>
        <w:pStyle w:val="ListParagraph"/>
        <w:numPr>
          <w:ilvl w:val="0"/>
          <w:numId w:val="2"/>
        </w:numPr>
        <w:spacing w:after="80"/>
      </w:pPr>
      <w:r>
        <w:rPr>
          <w:sz w:val="22"/>
          <w:szCs w:val="22"/>
        </w:rPr>
        <w:t>Limited ability for independent creators (without studio budgets) to visually and commercially communicate their creative vision.</w:t>
      </w:r>
    </w:p>
    <w:p>
      <w:pPr>
        <w:pStyle w:val="ListParagraph"/>
        <w:numPr>
          <w:ilvl w:val="0"/>
          <w:numId w:val="2"/>
        </w:numPr>
        <w:spacing w:after="80"/>
      </w:pPr>
      <w:r>
        <w:rPr>
          <w:sz w:val="22"/>
          <w:szCs w:val="22"/>
        </w:rPr>
        <w:t>Inefficient collaboration between creative roles (directors, screenwriters) and business roles (producers) due to the lack of a shared, iterable pitch reference.</w:t>
      </w:r>
    </w:p>
    <w:p>
      <w:pPr>
        <w:pStyle w:val="ListParagraph"/>
        <w:numPr>
          <w:ilvl w:val="0"/>
          <w:numId w:val="2"/>
        </w:numPr>
        <w:spacing w:after="80"/>
      </w:pPr>
      <w:r>
        <w:rPr>
          <w:sz w:val="22"/>
          <w:szCs w:val="22"/>
        </w:rPr>
        <w:t>Inconsistent presentation quality and weak market framing when pitching to studios, investors, or stakeholders.</w:t>
      </w:r>
    </w:p>
    <w:p>
      <w:pPr>
        <w:spacing w:after="140"/>
      </w:pPr>
      <w:r>
        <w:rPr>
          <w:sz w:val="22"/>
          <w:szCs w:val="22"/>
        </w:rPr>
        <w:t>Pitch Deck addresses this gap by using AI-driven automation (adaptive intake, narrative and market content generation, and diffusion-based image generation) to convert a one-line idea, logline, treatment, or full script directly into a producer-ready, cinematic pitch deck — reducing cost, time, and dependency on specialized design and research resources.</w:t>
      </w:r>
    </w:p>
    <w:p>
      <w:pPr>
        <w:pStyle w:val="Heading1"/>
        <w:pBdr>
          <w:bottom w:val="single" w:color="1F3864" w:sz="8" w:space="4"/>
        </w:pBdr>
        <w:spacing w:after="160" w:before="360"/>
      </w:pPr>
      <w:r>
        <w:rPr>
          <w:b/>
          <w:bCs/>
          <w:color w:val="1F3864"/>
          <w:sz w:val="28"/>
          <w:szCs w:val="28"/>
        </w:rPr>
        <w:t xml:space="preserve">3. Business Objectives</w:t>
      </w:r>
    </w:p>
    <w:p>
      <w:pPr>
        <w:spacing w:after="140"/>
      </w:pPr>
      <w:r>
        <w:rPr>
          <w:sz w:val="22"/>
          <w:szCs w:val="22"/>
        </w:rPr>
        <w:t>The Pitch Deck initiative is expected to deliver the following business outcomes: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4300"/>
      </w:tblGrid>
      <w:tr>
        <w:trPr>
          <w:tblHeader/>
        </w:trPr>
        <w:tc>
          <w:tcPr>
            <w:tcW w:type="dxa" w:w="700"/>
            <w:shd w:fill="1F3864" w:val="clear"/>
            <w:tcMar>
              <w:top w:type="dxa" w:w="100"/>
              <w:left w:type="dxa" w:w="120"/>
              <w:bottom w:type="dxa" w:w="100"/>
              <w:right w:type="dxa" w:w="120"/>
            </w:tcMar>
          </w:tcPr>
          <w:p>
            <w:r>
              <w:rPr>
                <w:b/>
                <w:bCs/>
                <w:color w:val="FFFFFF"/>
                <w:sz w:val="20"/>
                <w:szCs w:val="20"/>
              </w:rPr>
              <w:t xml:space="preserve">#</w:t>
            </w:r>
          </w:p>
        </w:tc>
        <w:tc>
          <w:tcPr>
            <w:tcW w:type="dxa" w:w="4800"/>
            <w:shd w:fill="1F3864" w:val="clear"/>
            <w:tcMar>
              <w:top w:type="dxa" w:w="100"/>
              <w:left w:type="dxa" w:w="120"/>
              <w:bottom w:type="dxa" w:w="100"/>
              <w:right w:type="dxa" w:w="120"/>
            </w:tcMar>
          </w:tcPr>
          <w:p>
            <w:r>
              <w:rPr>
                <w:b/>
                <w:bCs/>
                <w:color w:val="FFFFFF"/>
                <w:sz w:val="20"/>
                <w:szCs w:val="20"/>
              </w:rPr>
              <w:t xml:space="preserve">Business Objective</w:t>
            </w:r>
          </w:p>
        </w:tc>
        <w:tc>
          <w:tcPr>
            <w:tcW w:type="dxa" w:w="4300"/>
            <w:shd w:fill="1F3864" w:val="clear"/>
            <w:tcMar>
              <w:top w:type="dxa" w:w="100"/>
              <w:left w:type="dxa" w:w="120"/>
              <w:bottom w:type="dxa" w:w="100"/>
              <w:right w:type="dxa" w:w="120"/>
            </w:tcMar>
          </w:tcPr>
          <w:p>
            <w:r>
              <w:rPr>
                <w:b/>
                <w:bCs/>
                <w:color w:val="FFFFFF"/>
                <w:sz w:val="20"/>
                <w:szCs w:val="20"/>
              </w:rPr>
              <w:t xml:space="preserve">Business Value</w:t>
            </w:r>
          </w:p>
        </w:tc>
      </w:tr>
      <w:tr>
        <w:tc>
          <w:tcPr>
            <w:tcW w:type="dxa" w:w="700"/>
            <w:shd w:fill="F2F2F2" w:val="clear"/>
            <w:tcMar>
              <w:top w:type="dxa" w:w="100"/>
              <w:left w:type="dxa" w:w="120"/>
              <w:bottom w:type="dxa" w:w="100"/>
              <w:right w:type="dxa" w:w="120"/>
            </w:tcMar>
          </w:tcPr>
          <w:p>
            <w:r>
              <w:rPr>
                <w:b w:val="false"/>
                <w:bCs w:val="false"/>
                <w:color w:val="000000"/>
                <w:sz w:val="20"/>
                <w:szCs w:val="20"/>
              </w:rPr>
              <w:t>1</w:t>
            </w:r>
          </w:p>
        </w:tc>
        <w:tc>
          <w:tcPr>
            <w:tcW w:type="dxa" w:w="4800"/>
            <w:shd w:fill="F2F2F2" w:val="clear"/>
            <w:tcMar>
              <w:top w:type="dxa" w:w="100"/>
              <w:left w:type="dxa" w:w="120"/>
              <w:bottom w:type="dxa" w:w="100"/>
              <w:right w:type="dxa" w:w="120"/>
            </w:tcMar>
          </w:tcPr>
          <w:p>
            <w:r>
              <w:rPr>
                <w:b w:val="false"/>
                <w:bCs w:val="false"/>
                <w:color w:val="000000"/>
                <w:sz w:val="20"/>
                <w:szCs w:val="20"/>
              </w:rPr>
              <w:t>Reduce time and cost to produce a presentation-ready cinematic pitch deck</w:t>
            </w:r>
          </w:p>
        </w:tc>
        <w:tc>
          <w:tcPr>
            <w:tcW w:type="dxa" w:w="4300"/>
            <w:shd w:fill="F2F2F2" w:val="clear"/>
            <w:tcMar>
              <w:top w:type="dxa" w:w="100"/>
              <w:left w:type="dxa" w:w="120"/>
              <w:bottom w:type="dxa" w:w="100"/>
              <w:right w:type="dxa" w:w="120"/>
            </w:tcMar>
          </w:tcPr>
          <w:p>
            <w:r>
              <w:rPr>
                <w:b w:val="false"/>
                <w:bCs w:val="false"/>
                <w:color w:val="000000"/>
                <w:sz w:val="20"/>
                <w:szCs w:val="20"/>
              </w:rPr>
              <w:t>Faster pitch cycles; lower reliance on paid designers, concept artists, and researchers</w:t>
            </w:r>
          </w:p>
        </w:tc>
      </w:tr>
      <w:tr>
        <w:tc>
          <w:tcPr>
            <w:tcW w:type="dxa" w:w="700"/>
            <w:shd w:fill="FFFFFF" w:val="clear"/>
            <w:tcMar>
              <w:top w:type="dxa" w:w="100"/>
              <w:left w:type="dxa" w:w="120"/>
              <w:bottom w:type="dxa" w:w="100"/>
              <w:right w:type="dxa" w:w="120"/>
            </w:tcMar>
          </w:tcPr>
          <w:p>
            <w:r>
              <w:rPr>
                <w:b w:val="false"/>
                <w:bCs w:val="false"/>
                <w:color w:val="000000"/>
                <w:sz w:val="20"/>
                <w:szCs w:val="20"/>
              </w:rPr>
              <w:t>2</w:t>
            </w:r>
          </w:p>
        </w:tc>
        <w:tc>
          <w:tcPr>
            <w:tcW w:type="dxa" w:w="4800"/>
            <w:shd w:fill="FFFFFF" w:val="clear"/>
            <w:tcMar>
              <w:top w:type="dxa" w:w="100"/>
              <w:left w:type="dxa" w:w="120"/>
              <w:bottom w:type="dxa" w:w="100"/>
              <w:right w:type="dxa" w:w="120"/>
            </w:tcMar>
          </w:tcPr>
          <w:p>
            <w:r>
              <w:rPr>
                <w:b w:val="false"/>
                <w:bCs w:val="false"/>
                <w:color w:val="000000"/>
                <w:sz w:val="20"/>
                <w:szCs w:val="20"/>
              </w:rPr>
              <w:t>Enable directors and screenwriters to independently generate and iterate on pitch materials</w:t>
            </w:r>
          </w:p>
        </w:tc>
        <w:tc>
          <w:tcPr>
            <w:tcW w:type="dxa" w:w="4300"/>
            <w:shd w:fill="FFFFFF" w:val="clear"/>
            <w:tcMar>
              <w:top w:type="dxa" w:w="100"/>
              <w:left w:type="dxa" w:w="120"/>
              <w:bottom w:type="dxa" w:w="100"/>
              <w:right w:type="dxa" w:w="120"/>
            </w:tcMar>
          </w:tcPr>
          <w:p>
            <w:r>
              <w:rPr>
                <w:b w:val="false"/>
                <w:bCs w:val="false"/>
                <w:color w:val="000000"/>
                <w:sz w:val="20"/>
                <w:szCs w:val="20"/>
              </w:rPr>
              <w:t>Increased creative autonomy; reduced pre-production bottlenecks</w:t>
            </w:r>
          </w:p>
        </w:tc>
      </w:tr>
      <w:tr>
        <w:tc>
          <w:tcPr>
            <w:tcW w:type="dxa" w:w="700"/>
            <w:shd w:fill="F2F2F2" w:val="clear"/>
            <w:tcMar>
              <w:top w:type="dxa" w:w="100"/>
              <w:left w:type="dxa" w:w="120"/>
              <w:bottom w:type="dxa" w:w="100"/>
              <w:right w:type="dxa" w:w="120"/>
            </w:tcMar>
          </w:tcPr>
          <w:p>
            <w:r>
              <w:rPr>
                <w:b w:val="false"/>
                <w:bCs w:val="false"/>
                <w:color w:val="000000"/>
                <w:sz w:val="20"/>
                <w:szCs w:val="20"/>
              </w:rPr>
              <w:t>3</w:t>
            </w:r>
          </w:p>
        </w:tc>
        <w:tc>
          <w:tcPr>
            <w:tcW w:type="dxa" w:w="4800"/>
            <w:shd w:fill="F2F2F2" w:val="clear"/>
            <w:tcMar>
              <w:top w:type="dxa" w:w="100"/>
              <w:left w:type="dxa" w:w="120"/>
              <w:bottom w:type="dxa" w:w="100"/>
              <w:right w:type="dxa" w:w="120"/>
            </w:tcMar>
          </w:tcPr>
          <w:p>
            <w:r>
              <w:rPr>
                <w:b w:val="false"/>
                <w:bCs w:val="false"/>
                <w:color w:val="000000"/>
                <w:sz w:val="20"/>
                <w:szCs w:val="20"/>
              </w:rPr>
              <w:t>Improve consistency and professional quality of pitch decks</w:t>
            </w:r>
          </w:p>
        </w:tc>
        <w:tc>
          <w:tcPr>
            <w:tcW w:type="dxa" w:w="4300"/>
            <w:shd w:fill="F2F2F2" w:val="clear"/>
            <w:tcMar>
              <w:top w:type="dxa" w:w="100"/>
              <w:left w:type="dxa" w:w="120"/>
              <w:bottom w:type="dxa" w:w="100"/>
              <w:right w:type="dxa" w:w="120"/>
            </w:tcMar>
          </w:tcPr>
          <w:p>
            <w:r>
              <w:rPr>
                <w:b w:val="false"/>
                <w:bCs w:val="false"/>
                <w:color w:val="000000"/>
                <w:sz w:val="20"/>
                <w:szCs w:val="20"/>
              </w:rPr>
              <w:t>Stronger investor/studio impressions; higher conversion of pitches to greenlit projects</w:t>
            </w:r>
          </w:p>
        </w:tc>
      </w:tr>
      <w:tr>
        <w:tc>
          <w:tcPr>
            <w:tcW w:type="dxa" w:w="700"/>
            <w:shd w:fill="FFFFFF" w:val="clear"/>
            <w:tcMar>
              <w:top w:type="dxa" w:w="100"/>
              <w:left w:type="dxa" w:w="120"/>
              <w:bottom w:type="dxa" w:w="100"/>
              <w:right w:type="dxa" w:w="120"/>
            </w:tcMar>
          </w:tcPr>
          <w:p>
            <w:r>
              <w:rPr>
                <w:b w:val="false"/>
                <w:bCs w:val="false"/>
                <w:color w:val="000000"/>
                <w:sz w:val="20"/>
                <w:szCs w:val="20"/>
              </w:rPr>
              <w:t>4</w:t>
            </w:r>
          </w:p>
        </w:tc>
        <w:tc>
          <w:tcPr>
            <w:tcW w:type="dxa" w:w="4800"/>
            <w:shd w:fill="FFFFFF" w:val="clear"/>
            <w:tcMar>
              <w:top w:type="dxa" w:w="100"/>
              <w:left w:type="dxa" w:w="120"/>
              <w:bottom w:type="dxa" w:w="100"/>
              <w:right w:type="dxa" w:w="120"/>
            </w:tcMar>
          </w:tcPr>
          <w:p>
            <w:r>
              <w:rPr>
                <w:b w:val="false"/>
                <w:bCs w:val="false"/>
                <w:color w:val="000000"/>
                <w:sz w:val="20"/>
                <w:szCs w:val="20"/>
              </w:rPr>
              <w:t>Provide producers a fast, structured way to evaluate a project's story and market potential</w:t>
            </w:r>
          </w:p>
        </w:tc>
        <w:tc>
          <w:tcPr>
            <w:tcW w:type="dxa" w:w="4300"/>
            <w:shd w:fill="FFFFFF" w:val="clear"/>
            <w:tcMar>
              <w:top w:type="dxa" w:w="100"/>
              <w:left w:type="dxa" w:w="120"/>
              <w:bottom w:type="dxa" w:w="100"/>
              <w:right w:type="dxa" w:w="120"/>
            </w:tcMar>
          </w:tcPr>
          <w:p>
            <w:r>
              <w:rPr>
                <w:b w:val="false"/>
                <w:bCs w:val="false"/>
                <w:color w:val="000000"/>
                <w:sz w:val="20"/>
                <w:szCs w:val="20"/>
              </w:rPr>
              <w:t>Better-informed investment/greenlight decisions</w:t>
            </w:r>
          </w:p>
        </w:tc>
      </w:tr>
      <w:tr>
        <w:tc>
          <w:tcPr>
            <w:tcW w:type="dxa" w:w="700"/>
            <w:shd w:fill="F2F2F2" w:val="clear"/>
            <w:tcMar>
              <w:top w:type="dxa" w:w="100"/>
              <w:left w:type="dxa" w:w="120"/>
              <w:bottom w:type="dxa" w:w="100"/>
              <w:right w:type="dxa" w:w="120"/>
            </w:tcMar>
          </w:tcPr>
          <w:p>
            <w:r>
              <w:rPr>
                <w:b w:val="false"/>
                <w:bCs w:val="false"/>
                <w:color w:val="000000"/>
                <w:sz w:val="20"/>
                <w:szCs w:val="20"/>
              </w:rPr>
              <w:t>5</w:t>
            </w:r>
          </w:p>
        </w:tc>
        <w:tc>
          <w:tcPr>
            <w:tcW w:type="dxa" w:w="4800"/>
            <w:shd w:fill="F2F2F2" w:val="clear"/>
            <w:tcMar>
              <w:top w:type="dxa" w:w="100"/>
              <w:left w:type="dxa" w:w="120"/>
              <w:bottom w:type="dxa" w:w="100"/>
              <w:right w:type="dxa" w:w="120"/>
            </w:tcMar>
          </w:tcPr>
          <w:p>
            <w:r>
              <w:rPr>
                <w:b w:val="false"/>
                <w:bCs w:val="false"/>
                <w:color w:val="000000"/>
                <w:sz w:val="20"/>
                <w:szCs w:val="20"/>
              </w:rPr>
              <w:t>Establish a scalable, Telugu-first platform that can expand pan-India and add future capabilities</w:t>
            </w:r>
          </w:p>
        </w:tc>
        <w:tc>
          <w:tcPr>
            <w:tcW w:type="dxa" w:w="4300"/>
            <w:shd w:fill="F2F2F2" w:val="clear"/>
            <w:tcMar>
              <w:top w:type="dxa" w:w="100"/>
              <w:left w:type="dxa" w:w="120"/>
              <w:bottom w:type="dxa" w:w="100"/>
              <w:right w:type="dxa" w:w="120"/>
            </w:tcMar>
          </w:tcPr>
          <w:p>
            <w:r>
              <w:rPr>
                <w:b w:val="false"/>
                <w:bCs w:val="false"/>
                <w:color w:val="000000"/>
                <w:sz w:val="20"/>
                <w:szCs w:val="20"/>
              </w:rPr>
              <w:t>Long-term platform value beyond initial release (collaboration, analytics, new markets)</w:t>
            </w:r>
          </w:p>
        </w:tc>
      </w:tr>
    </w:tbl>
    <w:p>
      <w:pPr>
        <w:pStyle w:val="Heading1"/>
        <w:pBdr>
          <w:bottom w:val="single" w:color="1F3864" w:sz="8" w:space="4"/>
        </w:pBdr>
        <w:spacing w:after="160" w:before="360"/>
      </w:pPr>
      <w:r>
        <w:rPr>
          <w:b/>
          <w:bCs/>
          <w:color w:val="1F3864"/>
          <w:sz w:val="28"/>
          <w:szCs w:val="28"/>
        </w:rPr>
        <w:t xml:space="preserve">4. Stakeholders</w:t>
      </w:r>
    </w:p>
    <w:p>
      <w:pPr>
        <w:spacing w:after="140"/>
      </w:pPr>
      <w:r>
        <w:rPr>
          <w:sz w:val="22"/>
          <w:szCs w:val="22"/>
        </w:rPr>
        <w:t>The following stakeholder groups have a direct interest in, or are impacted by, the Pitch Deck initiative: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gridCol w:w="15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Stakeholder</w:t>
            </w:r>
          </w:p>
        </w:tc>
        <w:tc>
          <w:tcPr>
            <w:tcW w:type="dxa" w:w="5700"/>
            <w:shd w:fill="1F3864" w:val="clear"/>
            <w:tcMar>
              <w:top w:type="dxa" w:w="100"/>
              <w:left w:type="dxa" w:w="120"/>
              <w:bottom w:type="dxa" w:w="100"/>
              <w:right w:type="dxa" w:w="120"/>
            </w:tcMar>
          </w:tcPr>
          <w:p>
            <w:r>
              <w:rPr>
                <w:b/>
                <w:bCs/>
                <w:color w:val="FFFFFF"/>
                <w:sz w:val="20"/>
                <w:szCs w:val="20"/>
              </w:rPr>
              <w:t xml:space="preserve">Role / Interest</w:t>
            </w:r>
          </w:p>
        </w:tc>
        <w:tc>
          <w:tcPr>
            <w:tcW w:type="dxa" w:w="1500"/>
            <w:shd w:fill="1F3864" w:val="clear"/>
            <w:tcMar>
              <w:top w:type="dxa" w:w="100"/>
              <w:left w:type="dxa" w:w="120"/>
              <w:bottom w:type="dxa" w:w="100"/>
              <w:right w:type="dxa" w:w="120"/>
            </w:tcMar>
          </w:tcPr>
          <w:p>
            <w:r>
              <w:rPr>
                <w:b/>
                <w:bCs/>
                <w:color w:val="FFFFFF"/>
                <w:sz w:val="20"/>
                <w:szCs w:val="20"/>
              </w:rPr>
              <w:t xml:space="preserve">Priority</w:t>
            </w:r>
          </w:p>
        </w:tc>
      </w:tr>
      <w:tr>
        <w:tc>
          <w:tcPr>
            <w:tcW w:type="dxa" w:w="2600"/>
            <w:shd w:fill="F2F2F2" w:val="clear"/>
            <w:tcMar>
              <w:top w:type="dxa" w:w="100"/>
              <w:left w:type="dxa" w:w="120"/>
              <w:bottom w:type="dxa" w:w="100"/>
              <w:right w:type="dxa" w:w="120"/>
            </w:tcMar>
          </w:tcPr>
          <w:p>
            <w:r>
              <w:rPr>
                <w:b w:val="false"/>
                <w:bCs w:val="false"/>
                <w:color w:val="000000"/>
                <w:sz w:val="20"/>
                <w:szCs w:val="20"/>
              </w:rPr>
              <w:t>Director</w:t>
            </w:r>
          </w:p>
        </w:tc>
        <w:tc>
          <w:tcPr>
            <w:tcW w:type="dxa" w:w="5700"/>
            <w:shd w:fill="F2F2F2" w:val="clear"/>
            <w:tcMar>
              <w:top w:type="dxa" w:w="100"/>
              <w:left w:type="dxa" w:w="120"/>
              <w:bottom w:type="dxa" w:w="100"/>
              <w:right w:type="dxa" w:w="120"/>
            </w:tcMar>
          </w:tcPr>
          <w:p>
            <w:r>
              <w:rPr>
                <w:b w:val="false"/>
                <w:bCs w:val="false"/>
                <w:color w:val="000000"/>
                <w:sz w:val="20"/>
                <w:szCs w:val="20"/>
              </w:rPr>
              <w:t>Primary end user; inputs the story idea/script, defines visual style, reviews and customizes the AI-generated deck</w:t>
            </w:r>
          </w:p>
        </w:tc>
        <w:tc>
          <w:tcPr>
            <w:tcW w:type="dxa" w:w="1500"/>
            <w:shd w:fill="F2F2F2" w:val="clear"/>
            <w:tcMar>
              <w:top w:type="dxa" w:w="100"/>
              <w:left w:type="dxa" w:w="120"/>
              <w:bottom w:type="dxa" w:w="100"/>
              <w:right w:type="dxa" w:w="120"/>
            </w:tcMar>
          </w:tcPr>
          <w:p>
            <w:r>
              <w:rPr>
                <w:b w:val="false"/>
                <w:bCs w:val="false"/>
                <w:color w:val="000000"/>
                <w:sz w:val="20"/>
                <w:szCs w:val="20"/>
              </w:rPr>
              <w:t>Primary</w:t>
            </w:r>
          </w:p>
        </w:tc>
      </w:tr>
      <w:tr>
        <w:tc>
          <w:tcPr>
            <w:tcW w:type="dxa" w:w="2600"/>
            <w:shd w:fill="FFFFFF" w:val="clear"/>
            <w:tcMar>
              <w:top w:type="dxa" w:w="100"/>
              <w:left w:type="dxa" w:w="120"/>
              <w:bottom w:type="dxa" w:w="100"/>
              <w:right w:type="dxa" w:w="120"/>
            </w:tcMar>
          </w:tcPr>
          <w:p>
            <w:r>
              <w:rPr>
                <w:b w:val="false"/>
                <w:bCs w:val="false"/>
                <w:color w:val="000000"/>
                <w:sz w:val="20"/>
                <w:szCs w:val="20"/>
              </w:rPr>
              <w:t>Screenwriter</w:t>
            </w:r>
          </w:p>
        </w:tc>
        <w:tc>
          <w:tcPr>
            <w:tcW w:type="dxa" w:w="5700"/>
            <w:shd w:fill="FFFFFF" w:val="clear"/>
            <w:tcMar>
              <w:top w:type="dxa" w:w="100"/>
              <w:left w:type="dxa" w:w="120"/>
              <w:bottom w:type="dxa" w:w="100"/>
              <w:right w:type="dxa" w:w="120"/>
            </w:tcMar>
          </w:tcPr>
          <w:p>
            <w:r>
              <w:rPr>
                <w:b w:val="false"/>
                <w:bCs w:val="false"/>
                <w:color w:val="000000"/>
                <w:sz w:val="20"/>
                <w:szCs w:val="20"/>
              </w:rPr>
              <w:t>Reviews the narrative and visual representation of story beats to assess pacing, tone, and pitch readiness</w:t>
            </w:r>
          </w:p>
        </w:tc>
        <w:tc>
          <w:tcPr>
            <w:tcW w:type="dxa" w:w="1500"/>
            <w:shd w:fill="FFFFFF" w:val="clear"/>
            <w:tcMar>
              <w:top w:type="dxa" w:w="100"/>
              <w:left w:type="dxa" w:w="120"/>
              <w:bottom w:type="dxa" w:w="100"/>
              <w:right w:type="dxa" w:w="120"/>
            </w:tcMar>
          </w:tcPr>
          <w:p>
            <w:r>
              <w:rPr>
                <w:b w:val="false"/>
                <w:bCs w:val="false"/>
                <w:color w:val="000000"/>
                <w:sz w:val="20"/>
                <w:szCs w:val="20"/>
              </w:rPr>
              <w:t>Primary</w:t>
            </w:r>
          </w:p>
        </w:tc>
      </w:tr>
      <w:tr>
        <w:tc>
          <w:tcPr>
            <w:tcW w:type="dxa" w:w="2600"/>
            <w:shd w:fill="F2F2F2" w:val="clear"/>
            <w:tcMar>
              <w:top w:type="dxa" w:w="100"/>
              <w:left w:type="dxa" w:w="120"/>
              <w:bottom w:type="dxa" w:w="100"/>
              <w:right w:type="dxa" w:w="120"/>
            </w:tcMar>
          </w:tcPr>
          <w:p>
            <w:r>
              <w:rPr>
                <w:b w:val="false"/>
                <w:bCs w:val="false"/>
                <w:color w:val="000000"/>
                <w:sz w:val="20"/>
                <w:szCs w:val="20"/>
              </w:rPr>
              <w:t>Producer</w:t>
            </w:r>
          </w:p>
        </w:tc>
        <w:tc>
          <w:tcPr>
            <w:tcW w:type="dxa" w:w="5700"/>
            <w:shd w:fill="F2F2F2" w:val="clear"/>
            <w:tcMar>
              <w:top w:type="dxa" w:w="100"/>
              <w:left w:type="dxa" w:w="120"/>
              <w:bottom w:type="dxa" w:w="100"/>
              <w:right w:type="dxa" w:w="120"/>
            </w:tcMar>
          </w:tcPr>
          <w:p>
            <w:r>
              <w:rPr>
                <w:b w:val="false"/>
                <w:bCs w:val="false"/>
                <w:color w:val="000000"/>
                <w:sz w:val="20"/>
                <w:szCs w:val="20"/>
              </w:rPr>
              <w:t>Reviews finalized pitch decks to evaluate story and market potential and greenlight readiness</w:t>
            </w:r>
          </w:p>
        </w:tc>
        <w:tc>
          <w:tcPr>
            <w:tcW w:type="dxa" w:w="1500"/>
            <w:shd w:fill="F2F2F2" w:val="clear"/>
            <w:tcMar>
              <w:top w:type="dxa" w:w="100"/>
              <w:left w:type="dxa" w:w="120"/>
              <w:bottom w:type="dxa" w:w="100"/>
              <w:right w:type="dxa" w:w="120"/>
            </w:tcMar>
          </w:tcPr>
          <w:p>
            <w:r>
              <w:rPr>
                <w:b w:val="false"/>
                <w:bCs w:val="false"/>
                <w:color w:val="000000"/>
                <w:sz w:val="20"/>
                <w:szCs w:val="20"/>
              </w:rPr>
              <w:t>Primary</w:t>
            </w:r>
          </w:p>
        </w:tc>
      </w:tr>
      <w:tr>
        <w:tc>
          <w:tcPr>
            <w:tcW w:type="dxa" w:w="2600"/>
            <w:shd w:fill="FFFFFF" w:val="clear"/>
            <w:tcMar>
              <w:top w:type="dxa" w:w="100"/>
              <w:left w:type="dxa" w:w="120"/>
              <w:bottom w:type="dxa" w:w="100"/>
              <w:right w:type="dxa" w:w="120"/>
            </w:tcMar>
          </w:tcPr>
          <w:p>
            <w:r>
              <w:rPr>
                <w:b w:val="false"/>
                <w:bCs w:val="false"/>
                <w:color w:val="000000"/>
                <w:sz w:val="20"/>
                <w:szCs w:val="20"/>
              </w:rPr>
              <w:t>Producer (Future)</w:t>
            </w:r>
          </w:p>
        </w:tc>
        <w:tc>
          <w:tcPr>
            <w:tcW w:type="dxa" w:w="5700"/>
            <w:shd w:fill="FFFFFF" w:val="clear"/>
            <w:tcMar>
              <w:top w:type="dxa" w:w="100"/>
              <w:left w:type="dxa" w:w="120"/>
              <w:bottom w:type="dxa" w:w="100"/>
              <w:right w:type="dxa" w:w="120"/>
            </w:tcMar>
          </w:tcPr>
          <w:p>
            <w:r>
              <w:rPr>
                <w:b w:val="false"/>
                <w:bCs w:val="false"/>
                <w:color w:val="000000"/>
                <w:sz w:val="20"/>
                <w:szCs w:val="20"/>
              </w:rPr>
              <w:t>Leaves feedback/comments on individual slides for the creative team</w:t>
            </w:r>
          </w:p>
        </w:tc>
        <w:tc>
          <w:tcPr>
            <w:tcW w:type="dxa" w:w="1500"/>
            <w:shd w:fill="FFFFFF" w:val="clear"/>
            <w:tcMar>
              <w:top w:type="dxa" w:w="100"/>
              <w:left w:type="dxa" w:w="120"/>
              <w:bottom w:type="dxa" w:w="100"/>
              <w:right w:type="dxa" w:w="120"/>
            </w:tcMar>
          </w:tcPr>
          <w:p>
            <w:r>
              <w:rPr>
                <w:b w:val="false"/>
                <w:bCs w:val="false"/>
                <w:color w:val="000000"/>
                <w:sz w:val="20"/>
                <w:szCs w:val="20"/>
              </w:rPr>
              <w:t>Secondary (future phase)</w:t>
            </w:r>
          </w:p>
        </w:tc>
      </w:tr>
      <w:tr>
        <w:tc>
          <w:tcPr>
            <w:tcW w:type="dxa" w:w="2600"/>
            <w:shd w:fill="F2F2F2" w:val="clear"/>
            <w:tcMar>
              <w:top w:type="dxa" w:w="100"/>
              <w:left w:type="dxa" w:w="120"/>
              <w:bottom w:type="dxa" w:w="100"/>
              <w:right w:type="dxa" w:w="120"/>
            </w:tcMar>
          </w:tcPr>
          <w:p>
            <w:r>
              <w:rPr>
                <w:b w:val="false"/>
                <w:bCs w:val="false"/>
                <w:color w:val="000000"/>
                <w:sz w:val="20"/>
                <w:szCs w:val="20"/>
              </w:rPr>
              <w:t>Admin (Future)</w:t>
            </w:r>
          </w:p>
        </w:tc>
        <w:tc>
          <w:tcPr>
            <w:tcW w:type="dxa" w:w="5700"/>
            <w:shd w:fill="F2F2F2" w:val="clear"/>
            <w:tcMar>
              <w:top w:type="dxa" w:w="100"/>
              <w:left w:type="dxa" w:w="120"/>
              <w:bottom w:type="dxa" w:w="100"/>
              <w:right w:type="dxa" w:w="120"/>
            </w:tcMar>
          </w:tcPr>
          <w:p>
            <w:r>
              <w:rPr>
                <w:b w:val="false"/>
                <w:bCs w:val="false"/>
                <w:color w:val="000000"/>
                <w:sz w:val="20"/>
                <w:szCs w:val="20"/>
              </w:rPr>
              <w:t>Monitors generation frequency, regeneration rates, and model performance for engagement/performance analysis</w:t>
            </w:r>
          </w:p>
        </w:tc>
        <w:tc>
          <w:tcPr>
            <w:tcW w:type="dxa" w:w="1500"/>
            <w:shd w:fill="F2F2F2" w:val="clear"/>
            <w:tcMar>
              <w:top w:type="dxa" w:w="100"/>
              <w:left w:type="dxa" w:w="120"/>
              <w:bottom w:type="dxa" w:w="100"/>
              <w:right w:type="dxa" w:w="120"/>
            </w:tcMar>
          </w:tcPr>
          <w:p>
            <w:r>
              <w:rPr>
                <w:b w:val="false"/>
                <w:bCs w:val="false"/>
                <w:color w:val="000000"/>
                <w:sz w:val="20"/>
                <w:szCs w:val="20"/>
              </w:rPr>
              <w:t>Secondary (future phase)</w:t>
            </w:r>
          </w:p>
        </w:tc>
      </w:tr>
      <w:tr>
        <w:tc>
          <w:tcPr>
            <w:tcW w:type="dxa" w:w="2600"/>
            <w:shd w:fill="FFFFFF" w:val="clear"/>
            <w:tcMar>
              <w:top w:type="dxa" w:w="100"/>
              <w:left w:type="dxa" w:w="120"/>
              <w:bottom w:type="dxa" w:w="100"/>
              <w:right w:type="dxa" w:w="120"/>
            </w:tcMar>
          </w:tcPr>
          <w:p>
            <w:r>
              <w:rPr>
                <w:b w:val="false"/>
                <w:bCs w:val="false"/>
                <w:color w:val="000000"/>
                <w:sz w:val="20"/>
                <w:szCs w:val="20"/>
              </w:rPr>
              <w:t>Business/Product Owner</w:t>
            </w:r>
          </w:p>
        </w:tc>
        <w:tc>
          <w:tcPr>
            <w:tcW w:type="dxa" w:w="5700"/>
            <w:shd w:fill="FFFFFF" w:val="clear"/>
            <w:tcMar>
              <w:top w:type="dxa" w:w="100"/>
              <w:left w:type="dxa" w:w="120"/>
              <w:bottom w:type="dxa" w:w="100"/>
              <w:right w:type="dxa" w:w="120"/>
            </w:tcMar>
          </w:tcPr>
          <w:p>
            <w:r>
              <w:rPr>
                <w:b w:val="false"/>
                <w:bCs w:val="false"/>
                <w:color w:val="000000"/>
                <w:sz w:val="20"/>
                <w:szCs w:val="20"/>
              </w:rPr>
              <w:t>Owns business case, prioritization, and success measurement for the initiative</w:t>
            </w:r>
          </w:p>
        </w:tc>
        <w:tc>
          <w:tcPr>
            <w:tcW w:type="dxa" w:w="1500"/>
            <w:shd w:fill="FFFFFF" w:val="clear"/>
            <w:tcMar>
              <w:top w:type="dxa" w:w="100"/>
              <w:left w:type="dxa" w:w="120"/>
              <w:bottom w:type="dxa" w:w="100"/>
              <w:right w:type="dxa" w:w="120"/>
            </w:tcMar>
          </w:tcPr>
          <w:p>
            <w:r>
              <w:rPr>
                <w:b w:val="false"/>
                <w:bCs w:val="false"/>
                <w:color w:val="000000"/>
                <w:sz w:val="20"/>
                <w:szCs w:val="20"/>
              </w:rPr>
              <w:t>Governing</w:t>
            </w:r>
          </w:p>
        </w:tc>
      </w:tr>
      <w:tr>
        <w:tc>
          <w:tcPr>
            <w:tcW w:type="dxa" w:w="2600"/>
            <w:shd w:fill="F2F2F2" w:val="clear"/>
            <w:tcMar>
              <w:top w:type="dxa" w:w="100"/>
              <w:left w:type="dxa" w:w="120"/>
              <w:bottom w:type="dxa" w:w="100"/>
              <w:right w:type="dxa" w:w="120"/>
            </w:tcMar>
          </w:tcPr>
          <w:p>
            <w:r>
              <w:rPr>
                <w:b w:val="false"/>
                <w:bCs w:val="false"/>
                <w:color w:val="000000"/>
                <w:sz w:val="20"/>
                <w:szCs w:val="20"/>
              </w:rPr>
              <w:t>Engineering / AI Team</w:t>
            </w:r>
          </w:p>
        </w:tc>
        <w:tc>
          <w:tcPr>
            <w:tcW w:type="dxa" w:w="5700"/>
            <w:shd w:fill="F2F2F2" w:val="clear"/>
            <w:tcMar>
              <w:top w:type="dxa" w:w="100"/>
              <w:left w:type="dxa" w:w="120"/>
              <w:bottom w:type="dxa" w:w="100"/>
              <w:right w:type="dxa" w:w="120"/>
            </w:tcMar>
          </w:tcPr>
          <w:p>
            <w:r>
              <w:rPr>
                <w:b w:val="false"/>
                <w:bCs w:val="false"/>
                <w:color w:val="000000"/>
                <w:sz w:val="20"/>
                <w:szCs w:val="20"/>
              </w:rPr>
              <w:t>Builds and maintains intake, content generation, diffusion-model image generation, and export pipelines</w:t>
            </w:r>
          </w:p>
        </w:tc>
        <w:tc>
          <w:tcPr>
            <w:tcW w:type="dxa" w:w="1500"/>
            <w:shd w:fill="F2F2F2" w:val="clear"/>
            <w:tcMar>
              <w:top w:type="dxa" w:w="100"/>
              <w:left w:type="dxa" w:w="120"/>
              <w:bottom w:type="dxa" w:w="100"/>
              <w:right w:type="dxa" w:w="120"/>
            </w:tcMar>
          </w:tcPr>
          <w:p>
            <w:r>
              <w:rPr>
                <w:b w:val="false"/>
                <w:bCs w:val="false"/>
                <w:color w:val="000000"/>
                <w:sz w:val="20"/>
                <w:szCs w:val="20"/>
              </w:rPr>
              <w:t>Delivery</w:t>
            </w:r>
          </w:p>
        </w:tc>
      </w:tr>
    </w:tbl>
    <w:p>
      <w:pPr>
        <w:pStyle w:val="Heading1"/>
        <w:pBdr>
          <w:bottom w:val="single" w:color="1F3864" w:sz="8" w:space="4"/>
        </w:pBdr>
        <w:spacing w:after="160" w:before="360"/>
      </w:pPr>
      <w:r>
        <w:rPr>
          <w:b/>
          <w:bCs/>
          <w:color w:val="1F3864"/>
          <w:sz w:val="28"/>
          <w:szCs w:val="28"/>
        </w:rPr>
        <w:t xml:space="preserve">5. Scope</w:t>
      </w:r>
    </w:p>
    <w:p>
      <w:pPr>
        <w:pStyle w:val="Heading2"/>
        <w:spacing w:after="120" w:before="260"/>
      </w:pPr>
      <w:r>
        <w:rPr>
          <w:b/>
          <w:bCs/>
          <w:color w:val="2E5395"/>
          <w:sz w:val="24"/>
          <w:szCs w:val="24"/>
        </w:rPr>
        <w:t xml:space="preserve">5.1 In Scope (Current Phase)</w:t>
      </w:r>
    </w:p>
    <w:p>
      <w:pPr>
        <w:pStyle w:val="ListParagraph"/>
        <w:numPr>
          <w:ilvl w:val="0"/>
          <w:numId w:val="2"/>
        </w:numPr>
        <w:spacing w:after="80"/>
      </w:pPr>
      <w:r>
        <w:rPr>
          <w:sz w:val="22"/>
          <w:szCs w:val="22"/>
        </w:rPr>
        <w:t>Project/dashboard management: create, open, resume, search, and filter Pitch Deck projects.</w:t>
      </w:r>
    </w:p>
    <w:p>
      <w:pPr>
        <w:pStyle w:val="ListParagraph"/>
        <w:numPr>
          <w:ilvl w:val="0"/>
          <w:numId w:val="2"/>
        </w:numPr>
        <w:spacing w:after="80"/>
      </w:pPr>
      <w:r>
        <w:rPr>
          <w:sz w:val="22"/>
          <w:szCs w:val="22"/>
        </w:rPr>
        <w:t>Story input via a one-line idea, logline, treatment, or script upload (TXT, PDF, DOCX), with automated analysis and validation.</w:t>
      </w:r>
    </w:p>
    <w:p>
      <w:pPr>
        <w:pStyle w:val="ListParagraph"/>
        <w:numPr>
          <w:ilvl w:val="0"/>
          <w:numId w:val="2"/>
        </w:numPr>
        <w:spacing w:after="80"/>
      </w:pPr>
      <w:r>
        <w:rPr>
          <w:sz w:val="22"/>
          <w:szCs w:val="22"/>
        </w:rPr>
        <w:t>Adaptive AI intake conversation that extracts and structures narrative, characters, and market context.</w:t>
      </w:r>
    </w:p>
    <w:p>
      <w:pPr>
        <w:pStyle w:val="ListParagraph"/>
        <w:numPr>
          <w:ilvl w:val="0"/>
          <w:numId w:val="2"/>
        </w:numPr>
        <w:spacing w:after="80"/>
      </w:pPr>
      <w:r>
        <w:rPr>
          <w:sz w:val="22"/>
          <w:szCs w:val="22"/>
        </w:rPr>
        <w:t>AI-generated deck content (logline, synopsis, characters, world, market, comparables) mapped to a 10–15 slide structure.</w:t>
      </w:r>
    </w:p>
    <w:p>
      <w:pPr>
        <w:pStyle w:val="ListParagraph"/>
        <w:numPr>
          <w:ilvl w:val="0"/>
          <w:numId w:val="2"/>
        </w:numPr>
        <w:spacing w:after="80"/>
      </w:pPr>
      <w:r>
        <w:rPr>
          <w:sz w:val="22"/>
          <w:szCs w:val="22"/>
        </w:rPr>
        <w:t>AI-generated cinematic visuals per slide using diffusion models, grounded in the story's world and visual identity.</w:t>
      </w:r>
    </w:p>
    <w:p>
      <w:pPr>
        <w:pStyle w:val="ListParagraph"/>
        <w:numPr>
          <w:ilvl w:val="0"/>
          <w:numId w:val="2"/>
        </w:numPr>
        <w:spacing w:after="80"/>
      </w:pPr>
      <w:r>
        <w:rPr>
          <w:sz w:val="22"/>
          <w:szCs w:val="22"/>
        </w:rPr>
        <w:t>User-driven customization: slide-level and image regeneration, text and layout editing, style selection, and version history.</w:t>
      </w:r>
    </w:p>
    <w:p>
      <w:pPr>
        <w:pStyle w:val="ListParagraph"/>
        <w:numPr>
          <w:ilvl w:val="0"/>
          <w:numId w:val="2"/>
        </w:numPr>
        <w:spacing w:after="80"/>
      </w:pPr>
      <w:r>
        <w:rPr>
          <w:sz w:val="22"/>
          <w:szCs w:val="22"/>
        </w:rPr>
        <w:t>AI structural review of the finished deck, plus compilation and export — PDF export, with PPTX and a shareable web link referenced as target formats.</w:t>
      </w:r>
    </w:p>
    <w:p>
      <w:pPr>
        <w:pStyle w:val="ListParagraph"/>
        <w:numPr>
          <w:ilvl w:val="0"/>
          <w:numId w:val="2"/>
        </w:numPr>
        <w:spacing w:after="80"/>
      </w:pPr>
      <w:r>
        <w:rPr>
          <w:sz w:val="22"/>
          <w:szCs w:val="22"/>
        </w:rPr>
        <w:t>Preview/presentation mode and slide-level reordering prior to export.</w:t>
      </w:r>
    </w:p>
    <w:p>
      <w:pPr>
        <w:pStyle w:val="Heading2"/>
        <w:spacing w:after="120" w:before="260"/>
      </w:pPr>
      <w:r>
        <w:rPr>
          <w:b/>
          <w:bCs/>
          <w:color w:val="2E5395"/>
          <w:sz w:val="24"/>
          <w:szCs w:val="24"/>
        </w:rPr>
        <w:t xml:space="preserve">5.2 Out of Scope (Current Phase — Future Consideration)</w:t>
      </w:r>
    </w:p>
    <w:p>
      <w:pPr>
        <w:pStyle w:val="ListParagraph"/>
        <w:numPr>
          <w:ilvl w:val="0"/>
          <w:numId w:val="2"/>
        </w:numPr>
        <w:spacing w:after="80"/>
      </w:pPr>
      <w:r>
        <w:rPr>
          <w:sz w:val="22"/>
          <w:szCs w:val="22"/>
        </w:rPr>
        <w:t>Producer commenting/feedback on individual slides (explicitly marked as a future capability).</w:t>
      </w:r>
    </w:p>
    <w:p>
      <w:pPr>
        <w:pStyle w:val="ListParagraph"/>
        <w:numPr>
          <w:ilvl w:val="0"/>
          <w:numId w:val="2"/>
        </w:numPr>
        <w:spacing w:after="80"/>
      </w:pPr>
      <w:r>
        <w:rPr>
          <w:sz w:val="22"/>
          <w:szCs w:val="22"/>
        </w:rPr>
        <w:t>Admin analytics dashboard for monitoring generation frequency, regeneration rates, and model/engagement performance (explicitly marked as a future capability).</w:t>
      </w:r>
    </w:p>
    <w:p>
      <w:pPr>
        <w:pStyle w:val="ListParagraph"/>
        <w:numPr>
          <w:ilvl w:val="0"/>
          <w:numId w:val="2"/>
        </w:numPr>
        <w:spacing w:after="80"/>
      </w:pPr>
      <w:r>
        <w:rPr>
          <w:sz w:val="22"/>
          <w:szCs w:val="22"/>
        </w:rPr>
        <w:t>Multi-user real-time collaboration or simultaneous editing on the same project.</w:t>
      </w:r>
    </w:p>
    <w:p>
      <w:pPr>
        <w:pStyle w:val="ListParagraph"/>
        <w:numPr>
          <w:ilvl w:val="0"/>
          <w:numId w:val="2"/>
        </w:numPr>
        <w:spacing w:after="80"/>
      </w:pPr>
      <w:r>
        <w:rPr>
          <w:sz w:val="22"/>
          <w:szCs w:val="22"/>
        </w:rPr>
        <w:t>Full PPTX/web-link export pipeline detail beyond PDF (PDF is the primary supported export; PPTX/web link are referenced but not fully specified).</w:t>
      </w:r>
    </w:p>
    <w:p>
      <w:pPr>
        <w:pStyle w:val="Heading1"/>
        <w:pBdr>
          <w:bottom w:val="single" w:color="1F3864" w:sz="8" w:space="4"/>
        </w:pBdr>
        <w:spacing w:after="160" w:before="360"/>
      </w:pPr>
      <w:r>
        <w:rPr>
          <w:b/>
          <w:bCs/>
          <w:color w:val="1F3864"/>
          <w:sz w:val="28"/>
          <w:szCs w:val="28"/>
        </w:rPr>
        <w:t xml:space="preserve">6. Assumptions &amp; Constraints</w:t>
      </w:r>
    </w:p>
    <w:p>
      <w:pPr>
        <w:pStyle w:val="Heading2"/>
        <w:spacing w:after="120" w:before="260"/>
      </w:pPr>
      <w:r>
        <w:rPr>
          <w:b/>
          <w:bCs/>
          <w:color w:val="2E5395"/>
          <w:sz w:val="24"/>
          <w:szCs w:val="24"/>
        </w:rPr>
        <w:t xml:space="preserve">6.1 Assumptions</w:t>
      </w:r>
    </w:p>
    <w:p>
      <w:pPr>
        <w:pStyle w:val="ListParagraph"/>
        <w:numPr>
          <w:ilvl w:val="0"/>
          <w:numId w:val="2"/>
        </w:numPr>
        <w:spacing w:after="80"/>
      </w:pPr>
      <w:r>
        <w:rPr>
          <w:sz w:val="22"/>
          <w:szCs w:val="22"/>
        </w:rPr>
        <w:t>Users will provide a story idea, logline, treatment, or script in a supported format (TXT, PDF, DOCX) that can be parsed into identifiable narrative, characters, and themes.</w:t>
      </w:r>
    </w:p>
    <w:p>
      <w:pPr>
        <w:pStyle w:val="ListParagraph"/>
        <w:numPr>
          <w:ilvl w:val="0"/>
          <w:numId w:val="2"/>
        </w:numPr>
        <w:spacing w:after="80"/>
      </w:pPr>
      <w:r>
        <w:rPr>
          <w:sz w:val="22"/>
          <w:szCs w:val="22"/>
        </w:rPr>
        <w:t>Diffusion model output will be sufficient in quality and consistency to represent each slide's visual identity across the deck without significant manual correction.</w:t>
      </w:r>
    </w:p>
    <w:p>
      <w:pPr>
        <w:pStyle w:val="ListParagraph"/>
        <w:numPr>
          <w:ilvl w:val="0"/>
          <w:numId w:val="2"/>
        </w:numPr>
        <w:spacing w:after="80"/>
      </w:pPr>
      <w:r>
        <w:rPr>
          <w:sz w:val="22"/>
          <w:szCs w:val="22"/>
        </w:rPr>
        <w:t>Users understand and accept an AI-guided, staged generation workflow (intake → content → visuals → review) rather than a single one-click generation.</w:t>
      </w:r>
    </w:p>
    <w:p>
      <w:pPr>
        <w:pStyle w:val="ListParagraph"/>
        <w:numPr>
          <w:ilvl w:val="0"/>
          <w:numId w:val="2"/>
        </w:numPr>
        <w:spacing w:after="80"/>
      </w:pPr>
      <w:r>
        <w:rPr>
          <w:sz w:val="22"/>
          <w:szCs w:val="22"/>
        </w:rPr>
        <w:t>Once submitted for analysis, the story input is treated as near-final so AI parsing and content stay consistent across the deck.</w:t>
      </w:r>
    </w:p>
    <w:p>
      <w:pPr>
        <w:pStyle w:val="Heading2"/>
        <w:spacing w:after="120" w:before="260"/>
      </w:pPr>
      <w:r>
        <w:rPr>
          <w:b/>
          <w:bCs/>
          <w:color w:val="2E5395"/>
          <w:sz w:val="24"/>
          <w:szCs w:val="24"/>
        </w:rPr>
        <w:t xml:space="preserve">6.2 Constraints</w:t>
      </w:r>
    </w:p>
    <w:p>
      <w:pPr>
        <w:pStyle w:val="ListParagraph"/>
        <w:numPr>
          <w:ilvl w:val="0"/>
          <w:numId w:val="2"/>
        </w:numPr>
        <w:spacing w:after="80"/>
      </w:pPr>
      <w:r>
        <w:rPr>
          <w:sz w:val="22"/>
          <w:szCs w:val="22"/>
        </w:rPr>
        <w:t>Full-scale image generation is computationally and cost-intensive: generating multiple visual variations for every slide across many projects requires a capped, on-demand generation workflow rather than unlimited automatic generation.</w:t>
      </w:r>
    </w:p>
    <w:p>
      <w:pPr>
        <w:pStyle w:val="ListParagraph"/>
        <w:numPr>
          <w:ilvl w:val="0"/>
          <w:numId w:val="2"/>
        </w:numPr>
        <w:spacing w:after="80"/>
      </w:pPr>
      <w:r>
        <w:rPr>
          <w:sz w:val="22"/>
          <w:szCs w:val="22"/>
        </w:rPr>
        <w:t>Character and visual consistency across regenerated slides is dependent on underlying diffusion model capability, which may vary by provider or model version.</w:t>
      </w:r>
    </w:p>
    <w:p>
      <w:pPr>
        <w:pStyle w:val="ListParagraph"/>
        <w:numPr>
          <w:ilvl w:val="0"/>
          <w:numId w:val="2"/>
        </w:numPr>
        <w:spacing w:after="80"/>
      </w:pPr>
      <w:r>
        <w:rPr>
          <w:sz w:val="22"/>
          <w:szCs w:val="22"/>
        </w:rPr>
        <w:t>Export in the current phase is centered on PDF; PPTX and shareable web-link formats carry additional formatting and compatibility considerations not yet fully defined.</w:t>
      </w:r>
    </w:p>
    <w:p>
      <w:pPr>
        <w:pStyle w:val="Heading1"/>
        <w:pBdr>
          <w:bottom w:val="single" w:color="1F3864" w:sz="8" w:space="4"/>
        </w:pBdr>
        <w:spacing w:after="160" w:before="360"/>
      </w:pPr>
      <w:r>
        <w:rPr>
          <w:b/>
          <w:bCs/>
          <w:color w:val="1F3864"/>
          <w:sz w:val="28"/>
          <w:szCs w:val="28"/>
        </w:rPr>
        <w:t xml:space="preserve">7. Risks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5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Risk</w:t>
            </w:r>
          </w:p>
        </w:tc>
        <w:tc>
          <w:tcPr>
            <w:tcW w:type="dxa" w:w="3100"/>
            <w:shd w:fill="1F3864" w:val="clear"/>
            <w:tcMar>
              <w:top w:type="dxa" w:w="100"/>
              <w:left w:type="dxa" w:w="120"/>
              <w:bottom w:type="dxa" w:w="100"/>
              <w:right w:type="dxa" w:w="120"/>
            </w:tcMar>
          </w:tcPr>
          <w:p>
            <w:r>
              <w:rPr>
                <w:b/>
                <w:bCs/>
                <w:color w:val="FFFFFF"/>
                <w:sz w:val="20"/>
                <w:szCs w:val="20"/>
              </w:rPr>
              <w:t xml:space="preserve">Potential Impact</w:t>
            </w:r>
          </w:p>
        </w:tc>
        <w:tc>
          <w:tcPr>
            <w:tcW w:type="dxa" w:w="3500"/>
            <w:shd w:fill="1F3864" w:val="clear"/>
            <w:tcMar>
              <w:top w:type="dxa" w:w="100"/>
              <w:left w:type="dxa" w:w="120"/>
              <w:bottom w:type="dxa" w:w="100"/>
              <w:right w:type="dxa" w:w="120"/>
            </w:tcMar>
          </w:tcPr>
          <w:p>
            <w:r>
              <w:rPr>
                <w:b/>
                <w:bCs/>
                <w:color w:val="FFFFFF"/>
                <w:sz w:val="20"/>
                <w:szCs w:val="20"/>
              </w:rPr>
              <w:t xml:space="preserve">Mitigation Direction</w:t>
            </w:r>
          </w:p>
        </w:tc>
      </w:tr>
      <w:tr>
        <w:tc>
          <w:tcPr>
            <w:tcW w:type="dxa" w:w="3200"/>
            <w:shd w:fill="F2F2F2" w:val="clear"/>
            <w:tcMar>
              <w:top w:type="dxa" w:w="100"/>
              <w:left w:type="dxa" w:w="120"/>
              <w:bottom w:type="dxa" w:w="100"/>
              <w:right w:type="dxa" w:w="120"/>
            </w:tcMar>
          </w:tcPr>
          <w:p>
            <w:r>
              <w:rPr>
                <w:b w:val="false"/>
                <w:bCs w:val="false"/>
                <w:color w:val="000000"/>
                <w:sz w:val="20"/>
                <w:szCs w:val="20"/>
              </w:rPr>
              <w:t>AI visuals fail to maintain visual identity/consistency across a deck</w:t>
            </w:r>
          </w:p>
        </w:tc>
        <w:tc>
          <w:tcPr>
            <w:tcW w:type="dxa" w:w="3100"/>
            <w:shd w:fill="F2F2F2" w:val="clear"/>
            <w:tcMar>
              <w:top w:type="dxa" w:w="100"/>
              <w:left w:type="dxa" w:w="120"/>
              <w:bottom w:type="dxa" w:w="100"/>
              <w:right w:type="dxa" w:w="120"/>
            </w:tcMar>
          </w:tcPr>
          <w:p>
            <w:r>
              <w:rPr>
                <w:b w:val="false"/>
                <w:bCs w:val="false"/>
                <w:color w:val="000000"/>
                <w:sz w:val="20"/>
                <w:szCs w:val="20"/>
              </w:rPr>
              <w:t>Reduces deck usability and quality; erodes user trust</w:t>
            </w:r>
          </w:p>
        </w:tc>
        <w:tc>
          <w:tcPr>
            <w:tcW w:type="dxa" w:w="3500"/>
            <w:shd w:fill="F2F2F2" w:val="clear"/>
            <w:tcMar>
              <w:top w:type="dxa" w:w="100"/>
              <w:left w:type="dxa" w:w="120"/>
              <w:bottom w:type="dxa" w:w="100"/>
              <w:right w:type="dxa" w:w="120"/>
            </w:tcMar>
          </w:tcPr>
          <w:p>
            <w:r>
              <w:rPr>
                <w:b w:val="false"/>
                <w:bCs w:val="false"/>
                <w:color w:val="000000"/>
                <w:sz w:val="20"/>
                <w:szCs w:val="20"/>
              </w:rPr>
              <w:t>Invest in consistency techniques; allow easy regeneration and descriptive correction</w:t>
            </w:r>
          </w:p>
        </w:tc>
      </w:tr>
      <w:tr>
        <w:tc>
          <w:tcPr>
            <w:tcW w:type="dxa" w:w="3200"/>
            <w:shd w:fill="FFFFFF" w:val="clear"/>
            <w:tcMar>
              <w:top w:type="dxa" w:w="100"/>
              <w:left w:type="dxa" w:w="120"/>
              <w:bottom w:type="dxa" w:w="100"/>
              <w:right w:type="dxa" w:w="120"/>
            </w:tcMar>
          </w:tcPr>
          <w:p>
            <w:r>
              <w:rPr>
                <w:b w:val="false"/>
                <w:bCs w:val="false"/>
                <w:color w:val="000000"/>
                <w:sz w:val="20"/>
                <w:szCs w:val="20"/>
              </w:rPr>
              <w:t>Intake/analysis misinterprets the story, characters, or genre</w:t>
            </w:r>
          </w:p>
        </w:tc>
        <w:tc>
          <w:tcPr>
            <w:tcW w:type="dxa" w:w="3100"/>
            <w:shd w:fill="FFFFFF" w:val="clear"/>
            <w:tcMar>
              <w:top w:type="dxa" w:w="100"/>
              <w:left w:type="dxa" w:w="120"/>
              <w:bottom w:type="dxa" w:w="100"/>
              <w:right w:type="dxa" w:w="120"/>
            </w:tcMar>
          </w:tcPr>
          <w:p>
            <w:r>
              <w:rPr>
                <w:b w:val="false"/>
                <w:bCs w:val="false"/>
                <w:color w:val="000000"/>
                <w:sz w:val="20"/>
                <w:szCs w:val="20"/>
              </w:rPr>
              <w:t>Inaccurate deck content and structure; user rework</w:t>
            </w:r>
          </w:p>
        </w:tc>
        <w:tc>
          <w:tcPr>
            <w:tcW w:type="dxa" w:w="3500"/>
            <w:shd w:fill="FFFFFF" w:val="clear"/>
            <w:tcMar>
              <w:top w:type="dxa" w:w="100"/>
              <w:left w:type="dxa" w:w="120"/>
              <w:bottom w:type="dxa" w:w="100"/>
              <w:right w:type="dxa" w:w="120"/>
            </w:tcMar>
          </w:tcPr>
          <w:p>
            <w:r>
              <w:rPr>
                <w:b w:val="false"/>
                <w:bCs w:val="false"/>
                <w:color w:val="000000"/>
                <w:sz w:val="20"/>
                <w:szCs w:val="20"/>
              </w:rPr>
              <w:t>Validation at story submission; clear error flagging for weak or malformed input</w:t>
            </w:r>
          </w:p>
        </w:tc>
      </w:tr>
      <w:tr>
        <w:tc>
          <w:tcPr>
            <w:tcW w:type="dxa" w:w="3200"/>
            <w:shd w:fill="F2F2F2" w:val="clear"/>
            <w:tcMar>
              <w:top w:type="dxa" w:w="100"/>
              <w:left w:type="dxa" w:w="120"/>
              <w:bottom w:type="dxa" w:w="100"/>
              <w:right w:type="dxa" w:w="120"/>
            </w:tcMar>
          </w:tcPr>
          <w:p>
            <w:r>
              <w:rPr>
                <w:b w:val="false"/>
                <w:bCs w:val="false"/>
                <w:color w:val="000000"/>
                <w:sz w:val="20"/>
                <w:szCs w:val="20"/>
              </w:rPr>
              <w:t>Generation volume/performance and cost issues at scale</w:t>
            </w:r>
          </w:p>
        </w:tc>
        <w:tc>
          <w:tcPr>
            <w:tcW w:type="dxa" w:w="3100"/>
            <w:shd w:fill="F2F2F2" w:val="clear"/>
            <w:tcMar>
              <w:top w:type="dxa" w:w="100"/>
              <w:left w:type="dxa" w:w="120"/>
              <w:bottom w:type="dxa" w:w="100"/>
              <w:right w:type="dxa" w:w="120"/>
            </w:tcMar>
          </w:tcPr>
          <w:p>
            <w:r>
              <w:rPr>
                <w:b w:val="false"/>
                <w:bCs w:val="false"/>
                <w:color w:val="000000"/>
                <w:sz w:val="20"/>
                <w:szCs w:val="20"/>
              </w:rPr>
              <w:t>System slowness, failures, or excessive cost</w:t>
            </w:r>
          </w:p>
        </w:tc>
        <w:tc>
          <w:tcPr>
            <w:tcW w:type="dxa" w:w="3500"/>
            <w:shd w:fill="F2F2F2" w:val="clear"/>
            <w:tcMar>
              <w:top w:type="dxa" w:w="100"/>
              <w:left w:type="dxa" w:w="120"/>
              <w:bottom w:type="dxa" w:w="100"/>
              <w:right w:type="dxa" w:w="120"/>
            </w:tcMar>
          </w:tcPr>
          <w:p>
            <w:r>
              <w:rPr>
                <w:b w:val="false"/>
                <w:bCs w:val="false"/>
                <w:color w:val="000000"/>
                <w:sz w:val="20"/>
                <w:szCs w:val="20"/>
              </w:rPr>
              <w:t>Capped, on-demand generation workflow; performance and cost testing against realistic benchmarks</w:t>
            </w:r>
          </w:p>
        </w:tc>
      </w:tr>
      <w:tr>
        <w:tc>
          <w:tcPr>
            <w:tcW w:type="dxa" w:w="3200"/>
            <w:shd w:fill="FFFFFF" w:val="clear"/>
            <w:tcMar>
              <w:top w:type="dxa" w:w="100"/>
              <w:left w:type="dxa" w:w="120"/>
              <w:bottom w:type="dxa" w:w="100"/>
              <w:right w:type="dxa" w:w="120"/>
            </w:tcMar>
          </w:tcPr>
          <w:p>
            <w:r>
              <w:rPr>
                <w:b w:val="false"/>
                <w:bCs w:val="false"/>
                <w:color w:val="000000"/>
                <w:sz w:val="20"/>
                <w:szCs w:val="20"/>
              </w:rPr>
              <w:t>Low adoption if the workflow feels too manual or complex</w:t>
            </w:r>
          </w:p>
        </w:tc>
        <w:tc>
          <w:tcPr>
            <w:tcW w:type="dxa" w:w="3100"/>
            <w:shd w:fill="FFFFFF" w:val="clear"/>
            <w:tcMar>
              <w:top w:type="dxa" w:w="100"/>
              <w:left w:type="dxa" w:w="120"/>
              <w:bottom w:type="dxa" w:w="100"/>
              <w:right w:type="dxa" w:w="120"/>
            </w:tcMar>
          </w:tcPr>
          <w:p>
            <w:r>
              <w:rPr>
                <w:b w:val="false"/>
                <w:bCs w:val="false"/>
                <w:color w:val="000000"/>
                <w:sz w:val="20"/>
                <w:szCs w:val="20"/>
              </w:rPr>
              <w:t>Reduced ROI on the initiative</w:t>
            </w:r>
          </w:p>
        </w:tc>
        <w:tc>
          <w:tcPr>
            <w:tcW w:type="dxa" w:w="3500"/>
            <w:shd w:fill="FFFFFF" w:val="clear"/>
            <w:tcMar>
              <w:top w:type="dxa" w:w="100"/>
              <w:left w:type="dxa" w:w="120"/>
              <w:bottom w:type="dxa" w:w="100"/>
              <w:right w:type="dxa" w:w="120"/>
            </w:tcMar>
          </w:tcPr>
          <w:p>
            <w:r>
              <w:rPr>
                <w:b w:val="false"/>
                <w:bCs w:val="false"/>
                <w:color w:val="000000"/>
                <w:sz w:val="20"/>
                <w:szCs w:val="20"/>
              </w:rPr>
              <w:t>Usability testing with directors/screenwriters/producers pre- and post-release</w:t>
            </w:r>
          </w:p>
        </w:tc>
      </w:tr>
      <w:tr>
        <w:tc>
          <w:tcPr>
            <w:tcW w:type="dxa" w:w="3200"/>
            <w:shd w:fill="F2F2F2" w:val="clear"/>
            <w:tcMar>
              <w:top w:type="dxa" w:w="100"/>
              <w:left w:type="dxa" w:w="120"/>
              <w:bottom w:type="dxa" w:w="100"/>
              <w:right w:type="dxa" w:w="120"/>
            </w:tcMar>
          </w:tcPr>
          <w:p>
            <w:r>
              <w:rPr>
                <w:b w:val="false"/>
                <w:bCs w:val="false"/>
                <w:color w:val="000000"/>
                <w:sz w:val="20"/>
                <w:szCs w:val="20"/>
              </w:rPr>
              <w:t>Export quality/compatibility issues (PDF/PPTX/web link)</w:t>
            </w:r>
          </w:p>
        </w:tc>
        <w:tc>
          <w:tcPr>
            <w:tcW w:type="dxa" w:w="3100"/>
            <w:shd w:fill="F2F2F2" w:val="clear"/>
            <w:tcMar>
              <w:top w:type="dxa" w:w="100"/>
              <w:left w:type="dxa" w:w="120"/>
              <w:bottom w:type="dxa" w:w="100"/>
              <w:right w:type="dxa" w:w="120"/>
            </w:tcMar>
          </w:tcPr>
          <w:p>
            <w:r>
              <w:rPr>
                <w:b w:val="false"/>
                <w:bCs w:val="false"/>
                <w:color w:val="000000"/>
                <w:sz w:val="20"/>
                <w:szCs w:val="20"/>
              </w:rPr>
              <w:t>Unusable output for pitching, undermining core value proposition</w:t>
            </w:r>
          </w:p>
        </w:tc>
        <w:tc>
          <w:tcPr>
            <w:tcW w:type="dxa" w:w="3500"/>
            <w:shd w:fill="F2F2F2" w:val="clear"/>
            <w:tcMar>
              <w:top w:type="dxa" w:w="100"/>
              <w:left w:type="dxa" w:w="120"/>
              <w:bottom w:type="dxa" w:w="100"/>
              <w:right w:type="dxa" w:w="120"/>
            </w:tcMar>
          </w:tcPr>
          <w:p>
            <w:r>
              <w:rPr>
                <w:b w:val="false"/>
                <w:bCs w:val="false"/>
                <w:color w:val="000000"/>
                <w:sz w:val="20"/>
                <w:szCs w:val="20"/>
              </w:rPr>
              <w:t>Prioritize PDF export quality first; validate PPTX/web link in a later phase</w:t>
            </w:r>
          </w:p>
        </w:tc>
      </w:tr>
    </w:tbl>
    <w:p>
      <w:pPr>
        <w:pStyle w:val="Heading1"/>
        <w:pBdr>
          <w:bottom w:val="single" w:color="1F3864" w:sz="8" w:space="4"/>
        </w:pBdr>
        <w:spacing w:after="160" w:before="360"/>
      </w:pPr>
      <w:r>
        <w:rPr>
          <w:b/>
          <w:bCs/>
          <w:color w:val="1F3864"/>
          <w:sz w:val="28"/>
          <w:szCs w:val="28"/>
        </w:rPr>
        <w:t xml:space="preserve">8. Business Success Criteria</w:t>
      </w:r>
    </w:p>
    <w:p>
      <w:pPr>
        <w:spacing w:after="140"/>
      </w:pPr>
      <w:r>
        <w:rPr>
          <w:sz w:val="22"/>
          <w:szCs w:val="22"/>
        </w:rPr>
        <w:t>At the business level, the Pitch Deck initiative will be considered successful if it achieves the following outcomes (in addition to the detailed functional success criteria defined in the PRD):</w:t>
      </w:r>
    </w:p>
    <w:p>
      <w:pPr>
        <w:pStyle w:val="ListParagraph"/>
        <w:numPr>
          <w:ilvl w:val="0"/>
          <w:numId w:val="2"/>
        </w:numPr>
        <w:spacing w:after="80"/>
      </w:pPr>
      <w:r>
        <w:rPr>
          <w:sz w:val="22"/>
          <w:szCs w:val="22"/>
        </w:rPr>
        <w:t>Directors, screenwriters, and producers can move from a story idea or script to a shareable, presentation-ready cinematic pitch deck significantly faster than manual/traditional methods.</w:t>
      </w:r>
    </w:p>
    <w:p>
      <w:pPr>
        <w:pStyle w:val="ListParagraph"/>
        <w:numPr>
          <w:ilvl w:val="0"/>
          <w:numId w:val="2"/>
        </w:numPr>
        <w:spacing w:after="80"/>
      </w:pPr>
      <w:r>
        <w:rPr>
          <w:sz w:val="22"/>
          <w:szCs w:val="22"/>
        </w:rPr>
        <w:t>Users report the tool reduces dependency on external design, illustration, and research resources for early-stage pitch materials.</w:t>
      </w:r>
    </w:p>
    <w:p>
      <w:pPr>
        <w:pStyle w:val="ListParagraph"/>
        <w:numPr>
          <w:ilvl w:val="0"/>
          <w:numId w:val="2"/>
        </w:numPr>
        <w:spacing w:after="80"/>
      </w:pPr>
      <w:r>
        <w:rPr>
          <w:sz w:val="22"/>
          <w:szCs w:val="22"/>
        </w:rPr>
        <w:t>The platform reliably supports realistic projects (10–15 slide decks with cinematic visuals) without performance failure.</w:t>
      </w:r>
    </w:p>
    <w:p>
      <w:pPr>
        <w:pStyle w:val="ListParagraph"/>
        <w:numPr>
          <w:ilvl w:val="0"/>
          <w:numId w:val="2"/>
        </w:numPr>
        <w:spacing w:after="80"/>
      </w:pPr>
      <w:r>
        <w:rPr>
          <w:sz w:val="22"/>
          <w:szCs w:val="22"/>
        </w:rPr>
        <w:t>Producers indicate that Pitch Deck outputs meaningfully improve their ability to evaluate a project's story and market potential during review.</w:t>
      </w:r>
    </w:p>
    <w:p>
      <w:pPr>
        <w:pStyle w:val="ListParagraph"/>
        <w:numPr>
          <w:ilvl w:val="0"/>
          <w:numId w:val="2"/>
        </w:numPr>
        <w:spacing w:after="80"/>
      </w:pPr>
      <w:r>
        <w:rPr>
          <w:sz w:val="22"/>
          <w:szCs w:val="22"/>
        </w:rPr>
        <w:t>The platform is positioned to extend into future collaboration (feedback/comments), analytics (admin monitoring), and pan-India market expansion without requiring architectural rework.</w:t>
      </w:r>
    </w:p>
    <w:p>
      <w:pPr>
        <w:pStyle w:val="Heading1"/>
        <w:pBdr>
          <w:bottom w:val="single" w:color="1F3864" w:sz="8" w:space="4"/>
        </w:pBdr>
        <w:spacing w:after="160" w:before="360"/>
      </w:pPr>
      <w:r>
        <w:rPr>
          <w:b/>
          <w:bCs/>
          <w:color w:val="1F3864"/>
          <w:sz w:val="28"/>
          <w:szCs w:val="28"/>
        </w:rPr>
        <w:t xml:space="preserve">9. Relationship to Other Documents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19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Document</w:t>
            </w:r>
          </w:p>
        </w:tc>
        <w:tc>
          <w:tcPr>
            <w:tcW w:type="dxa" w:w="5300"/>
            <w:shd w:fill="1F3864" w:val="clear"/>
            <w:tcMar>
              <w:top w:type="dxa" w:w="100"/>
              <w:left w:type="dxa" w:w="120"/>
              <w:bottom w:type="dxa" w:w="100"/>
              <w:right w:type="dxa" w:w="120"/>
            </w:tcMar>
          </w:tcPr>
          <w:p>
            <w:r>
              <w:rPr>
                <w:b/>
                <w:bCs/>
                <w:color w:val="FFFFFF"/>
                <w:sz w:val="20"/>
                <w:szCs w:val="20"/>
              </w:rPr>
              <w:t xml:space="preserve">Owns</w:t>
            </w:r>
          </w:p>
        </w:tc>
        <w:tc>
          <w:tcPr>
            <w:tcW w:type="dxa" w:w="1900"/>
            <w:shd w:fill="1F3864" w:val="clear"/>
            <w:tcMar>
              <w:top w:type="dxa" w:w="100"/>
              <w:left w:type="dxa" w:w="120"/>
              <w:bottom w:type="dxa" w:w="100"/>
              <w:right w:type="dxa" w:w="120"/>
            </w:tcMar>
          </w:tcPr>
          <w:p>
            <w:r>
              <w:rPr>
                <w:b/>
                <w:bCs/>
                <w:color w:val="FFFFFF"/>
                <w:sz w:val="20"/>
                <w:szCs w:val="20"/>
              </w:rPr>
              <w:t xml:space="preserve">Status</w:t>
            </w:r>
          </w:p>
        </w:tc>
      </w:tr>
      <w:tr>
        <w:tc>
          <w:tcPr>
            <w:tcW w:type="dxa" w:w="2600"/>
            <w:shd w:fill="F2F2F2" w:val="clear"/>
            <w:tcMar>
              <w:top w:type="dxa" w:w="100"/>
              <w:left w:type="dxa" w:w="120"/>
              <w:bottom w:type="dxa" w:w="100"/>
              <w:right w:type="dxa" w:w="120"/>
            </w:tcMar>
          </w:tcPr>
          <w:p>
            <w:r>
              <w:rPr>
                <w:b w:val="false"/>
                <w:bCs w:val="false"/>
                <w:color w:val="000000"/>
                <w:sz w:val="20"/>
                <w:szCs w:val="20"/>
              </w:rPr>
              <w:t>BRD (this document)</w:t>
            </w:r>
          </w:p>
        </w:tc>
        <w:tc>
          <w:tcPr>
            <w:tcW w:type="dxa" w:w="5300"/>
            <w:shd w:fill="F2F2F2" w:val="clear"/>
            <w:tcMar>
              <w:top w:type="dxa" w:w="100"/>
              <w:left w:type="dxa" w:w="120"/>
              <w:bottom w:type="dxa" w:w="100"/>
              <w:right w:type="dxa" w:w="120"/>
            </w:tcMar>
          </w:tcPr>
          <w:p>
            <w:r>
              <w:rPr>
                <w:b w:val="false"/>
                <w:bCs w:val="false"/>
                <w:color w:val="000000"/>
                <w:sz w:val="20"/>
                <w:szCs w:val="20"/>
              </w:rPr>
              <w:t>Business case, stakeholders, scope, assumptions, risks, business-level success criteria</w:t>
            </w:r>
          </w:p>
        </w:tc>
        <w:tc>
          <w:tcPr>
            <w:tcW w:type="dxa" w:w="1900"/>
            <w:shd w:fill="F2F2F2" w:val="clear"/>
            <w:tcMar>
              <w:top w:type="dxa" w:w="100"/>
              <w:left w:type="dxa" w:w="120"/>
              <w:bottom w:type="dxa" w:w="100"/>
              <w:right w:type="dxa" w:w="120"/>
            </w:tcMar>
          </w:tcPr>
          <w:p>
            <w:r>
              <w:rPr>
                <w:b w:val="false"/>
                <w:bCs w:val="false"/>
                <w:color w:val="000000"/>
                <w:sz w:val="20"/>
                <w:szCs w:val="20"/>
              </w:rPr>
              <w:t>Draft v1.0</w:t>
            </w:r>
          </w:p>
        </w:tc>
      </w:tr>
      <w:tr>
        <w:tc>
          <w:tcPr>
            <w:tcW w:type="dxa" w:w="2600"/>
            <w:shd w:fill="FFFFFF" w:val="clear"/>
            <w:tcMar>
              <w:top w:type="dxa" w:w="100"/>
              <w:left w:type="dxa" w:w="120"/>
              <w:bottom w:type="dxa" w:w="100"/>
              <w:right w:type="dxa" w:w="120"/>
            </w:tcMar>
          </w:tcPr>
          <w:p>
            <w:r>
              <w:rPr>
                <w:b w:val="false"/>
                <w:bCs w:val="false"/>
                <w:color w:val="000000"/>
                <w:sz w:val="20"/>
                <w:szCs w:val="20"/>
              </w:rPr>
              <w:t>PRD (planned)</w:t>
            </w:r>
          </w:p>
        </w:tc>
        <w:tc>
          <w:tcPr>
            <w:tcW w:type="dxa" w:w="5300"/>
            <w:shd w:fill="FFFFFF" w:val="clear"/>
            <w:tcMar>
              <w:top w:type="dxa" w:w="100"/>
              <w:left w:type="dxa" w:w="120"/>
              <w:bottom w:type="dxa" w:w="100"/>
              <w:right w:type="dxa" w:w="120"/>
            </w:tcMar>
          </w:tcPr>
          <w:p>
            <w:r>
              <w:rPr>
                <w:b w:val="false"/>
                <w:bCs w:val="false"/>
                <w:color w:val="000000"/>
                <w:sz w:val="20"/>
                <w:szCs w:val="20"/>
              </w:rPr>
              <w:t>User stories, functional requirements per module, feature-level success criteria</w:t>
            </w:r>
          </w:p>
        </w:tc>
        <w:tc>
          <w:tcPr>
            <w:tcW w:type="dxa" w:w="1900"/>
            <w:shd w:fill="FFFFFF" w:val="clear"/>
            <w:tcMar>
              <w:top w:type="dxa" w:w="100"/>
              <w:left w:type="dxa" w:w="120"/>
              <w:bottom w:type="dxa" w:w="100"/>
              <w:right w:type="dxa" w:w="120"/>
            </w:tcMar>
          </w:tcPr>
          <w:p>
            <w:r>
              <w:rPr>
                <w:b w:val="false"/>
                <w:bCs w:val="false"/>
                <w:color w:val="000000"/>
                <w:sz w:val="20"/>
                <w:szCs w:val="20"/>
              </w:rPr>
              <w:t>Planned</w:t>
            </w:r>
          </w:p>
        </w:tc>
      </w:tr>
      <w:tr>
        <w:tc>
          <w:tcPr>
            <w:tcW w:type="dxa" w:w="2600"/>
            <w:shd w:fill="F2F2F2" w:val="clear"/>
            <w:tcMar>
              <w:top w:type="dxa" w:w="100"/>
              <w:left w:type="dxa" w:w="120"/>
              <w:bottom w:type="dxa" w:w="100"/>
              <w:right w:type="dxa" w:w="120"/>
            </w:tcMar>
          </w:tcPr>
          <w:p>
            <w:r>
              <w:rPr>
                <w:b w:val="false"/>
                <w:bCs w:val="false"/>
                <w:color w:val="000000"/>
                <w:sz w:val="20"/>
                <w:szCs w:val="20"/>
              </w:rPr>
              <w:t>Design Doc (planned)</w:t>
            </w:r>
          </w:p>
        </w:tc>
        <w:tc>
          <w:tcPr>
            <w:tcW w:type="dxa" w:w="5300"/>
            <w:shd w:fill="F2F2F2" w:val="clear"/>
            <w:tcMar>
              <w:top w:type="dxa" w:w="100"/>
              <w:left w:type="dxa" w:w="120"/>
              <w:bottom w:type="dxa" w:w="100"/>
              <w:right w:type="dxa" w:w="120"/>
            </w:tcMar>
          </w:tcPr>
          <w:p>
            <w:r>
              <w:rPr>
                <w:b w:val="false"/>
                <w:bCs w:val="false"/>
                <w:color w:val="000000"/>
                <w:sz w:val="20"/>
                <w:szCs w:val="20"/>
              </w:rPr>
              <w:t>System architecture, data models, API contracts, diffusion model integration, validation/error-handling logic, export pipeline design</w:t>
            </w:r>
          </w:p>
        </w:tc>
        <w:tc>
          <w:tcPr>
            <w:tcW w:type="dxa" w:w="1900"/>
            <w:shd w:fill="F2F2F2" w:val="clear"/>
            <w:tcMar>
              <w:top w:type="dxa" w:w="100"/>
              <w:left w:type="dxa" w:w="120"/>
              <w:bottom w:type="dxa" w:w="100"/>
              <w:right w:type="dxa" w:w="120"/>
            </w:tcMar>
          </w:tcPr>
          <w:p>
            <w:r>
              <w:rPr>
                <w:b w:val="false"/>
                <w:bCs w:val="false"/>
                <w:color w:val="000000"/>
                <w:sz w:val="20"/>
                <w:szCs w:val="20"/>
              </w:rPr>
              <w:t>Not yet started</w:t>
            </w:r>
          </w:p>
        </w:tc>
      </w:tr>
    </w:tbl>
    <w:p>
      <w:pPr>
        <w:spacing w:after="140"/>
      </w:pPr>
      <w:r>
        <w:rPr>
          <w:sz w:val="22"/>
          <w:szCs w:val="22"/>
        </w:rPr>
        <w:t>Note: Functional-specification-level detail (e.g., story-analysis rules, generation logic, export format handling) may be captured either within the PRD or deferred to the Design Doc, depending on team preference, rather than maintained as a separate standalone FRD.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Pitch Deck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2026-07-07T05:13:41.330Z</dcterms:created>
  <dcterms:modified xsi:type="dcterms:W3CDTF">2026-07-07T05:13:41.330Z</dcterms:modified>
</cp:coreProperties>
</file>

<file path=docProps/custom.xml><?xml version="1.0" encoding="utf-8"?>
<Properties xmlns="http://schemas.openxmlformats.org/officeDocument/2006/custom-properties" xmlns:vt="http://schemas.openxmlformats.org/officeDocument/2006/docPropsVTypes"/>
</file>