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SG" w:eastAsia="zh-CN"/>
        </w:rPr>
        <w:id w:val="1085958853"/>
        <w:docPartObj>
          <w:docPartGallery w:val="Cover Pages"/>
          <w:docPartUnique/>
        </w:docPartObj>
      </w:sdtPr>
      <w:sdtEndPr>
        <w:rPr>
          <w:rFonts w:ascii="Arial" w:hAnsi="Arial" w:cs="Arial"/>
          <w:b/>
          <w:sz w:val="36"/>
          <w:szCs w:val="36"/>
          <w:lang w:val="en-US" w:eastAsia="en-US"/>
        </w:rPr>
      </w:sdtEndPr>
      <w:sdtContent>
        <w:p w:rsidR="004B0B01" w:rsidRDefault="004B0B01" w:rsidP="004B0B01">
          <w:pPr>
            <w:pStyle w:val="NoSpacing"/>
          </w:pPr>
          <w:r>
            <w:rPr>
              <w:noProof/>
            </w:rPr>
            <mc:AlternateContent>
              <mc:Choice Requires="wpg">
                <w:drawing>
                  <wp:anchor distT="0" distB="0" distL="114300" distR="114300" simplePos="0" relativeHeight="251659264" behindDoc="1" locked="0" layoutInCell="1" allowOverlap="1" wp14:anchorId="72E715E3" wp14:editId="263FAB5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vertAlign w:val="superscript"/>
                                    </w:rPr>
                                    <w:alias w:val="Date"/>
                                    <w:tag w:val=""/>
                                    <w:id w:val="-1333145527"/>
                                    <w:showingPlcHdr/>
                                    <w:dataBinding w:prefixMappings="xmlns:ns0='http://schemas.microsoft.com/office/2006/coverPageProps' " w:xpath="/ns0:CoverPageProperties[1]/ns0:PublishDate[1]" w:storeItemID="{55AF091B-3C7A-41E3-B477-F2FDAA23CFDA}"/>
                                    <w:date w:fullDate="2014-04-01T00:00:00Z">
                                      <w:dateFormat w:val="M/d/yyyy"/>
                                      <w:lid w:val="en-US"/>
                                      <w:storeMappedDataAs w:val="dateTime"/>
                                      <w:calendar w:val="gregorian"/>
                                    </w:date>
                                  </w:sdtPr>
                                  <w:sdtContent>
                                    <w:p w:rsidR="00DC1E83" w:rsidRDefault="00DC1E83" w:rsidP="004B0B01">
                                      <w:pPr>
                                        <w:pStyle w:val="NoSpacing"/>
                                        <w:jc w:val="right"/>
                                        <w:rPr>
                                          <w:color w:val="FFFFFF" w:themeColor="background1"/>
                                          <w:sz w:val="28"/>
                                          <w:szCs w:val="28"/>
                                        </w:rPr>
                                      </w:pPr>
                                      <w:r>
                                        <w:rPr>
                                          <w:color w:val="FFFFFF" w:themeColor="background1"/>
                                          <w:sz w:val="28"/>
                                          <w:szCs w:val="28"/>
                                          <w:vertAlign w:val="superscript"/>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1f497d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4f81bd [3204]" stroked="f" strokeweight="2pt">
                      <v:textbox inset=",0,14.4pt,0">
                        <w:txbxContent>
                          <w:sdt>
                            <w:sdtPr>
                              <w:rPr>
                                <w:color w:val="FFFFFF" w:themeColor="background1"/>
                                <w:sz w:val="28"/>
                                <w:szCs w:val="28"/>
                                <w:vertAlign w:val="superscript"/>
                              </w:rPr>
                              <w:alias w:val="Date"/>
                              <w:tag w:val=""/>
                              <w:id w:val="-1333145527"/>
                              <w:showingPlcHdr/>
                              <w:dataBinding w:prefixMappings="xmlns:ns0='http://schemas.microsoft.com/office/2006/coverPageProps' " w:xpath="/ns0:CoverPageProperties[1]/ns0:PublishDate[1]" w:storeItemID="{55AF091B-3C7A-41E3-B477-F2FDAA23CFDA}"/>
                              <w:date w:fullDate="2014-04-01T00:00:00Z">
                                <w:dateFormat w:val="M/d/yyyy"/>
                                <w:lid w:val="en-US"/>
                                <w:storeMappedDataAs w:val="dateTime"/>
                                <w:calendar w:val="gregorian"/>
                              </w:date>
                            </w:sdtPr>
                            <w:sdtContent>
                              <w:p w:rsidR="00DC1E83" w:rsidRDefault="00DC1E83" w:rsidP="004B0B01">
                                <w:pPr>
                                  <w:pStyle w:val="NoSpacing"/>
                                  <w:jc w:val="right"/>
                                  <w:rPr>
                                    <w:color w:val="FFFFFF" w:themeColor="background1"/>
                                    <w:sz w:val="28"/>
                                    <w:szCs w:val="28"/>
                                  </w:rPr>
                                </w:pPr>
                                <w:r>
                                  <w:rPr>
                                    <w:color w:val="FFFFFF" w:themeColor="background1"/>
                                    <w:sz w:val="28"/>
                                    <w:szCs w:val="28"/>
                                    <w:vertAlign w:val="superscript"/>
                                  </w:rPr>
                                  <w:t xml:space="preserve">     </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1f497d [3215]" strokecolor="#1f497d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1f497d [3215]" strokecolor="#1f497d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1f497d [3215]" strokecolor="#1f497d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1f497d [3215]" strokecolor="#1f497d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1f497d [3215]" strokecolor="#1f497d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4B0B01" w:rsidRDefault="004B0B01" w:rsidP="004B0B01">
          <w:pPr>
            <w:pStyle w:val="NoSpacing"/>
            <w:rPr>
              <w:rFonts w:asciiTheme="majorHAnsi" w:eastAsiaTheme="majorEastAsia" w:hAnsiTheme="majorHAnsi" w:cstheme="majorBidi"/>
              <w:color w:val="262626" w:themeColor="text1" w:themeTint="D9"/>
              <w:sz w:val="72"/>
            </w:rPr>
          </w:pPr>
          <w:r>
            <w:rPr>
              <w:noProof/>
            </w:rPr>
            <mc:AlternateContent>
              <mc:Choice Requires="wps">
                <w:drawing>
                  <wp:anchor distT="0" distB="0" distL="114300" distR="114300" simplePos="0" relativeHeight="251660288" behindDoc="0" locked="0" layoutInCell="1" allowOverlap="1" wp14:anchorId="739DD909" wp14:editId="099C2EB3">
                    <wp:simplePos x="0" y="0"/>
                    <wp:positionH relativeFrom="page">
                      <wp:posOffset>2971800</wp:posOffset>
                    </wp:positionH>
                    <wp:positionV relativeFrom="page">
                      <wp:posOffset>1371600</wp:posOffset>
                    </wp:positionV>
                    <wp:extent cx="4457700" cy="1931670"/>
                    <wp:effectExtent l="0" t="0" r="12700" b="0"/>
                    <wp:wrapNone/>
                    <wp:docPr id="1" name="Text Box 1"/>
                    <wp:cNvGraphicFramePr/>
                    <a:graphic xmlns:a="http://schemas.openxmlformats.org/drawingml/2006/main">
                      <a:graphicData uri="http://schemas.microsoft.com/office/word/2010/wordprocessingShape">
                        <wps:wsp>
                          <wps:cNvSpPr txBox="1"/>
                          <wps:spPr>
                            <a:xfrm>
                              <a:off x="0" y="0"/>
                              <a:ext cx="4457700" cy="1931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E83" w:rsidRPr="004B0B01" w:rsidRDefault="00DC1E83" w:rsidP="004B0B0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Business Law</w:t>
                                </w:r>
                                <w:r>
                                  <w:rPr>
                                    <w:rFonts w:asciiTheme="majorHAnsi" w:eastAsiaTheme="majorEastAsia" w:hAnsiTheme="majorHAnsi" w:cstheme="majorBidi"/>
                                    <w:color w:val="262626" w:themeColor="text1" w:themeTint="D9"/>
                                    <w:sz w:val="72"/>
                                    <w:szCs w:val="72"/>
                                  </w:rPr>
                                  <w:br/>
                                </w:r>
                                <w:r>
                                  <w:rPr>
                                    <w:rFonts w:asciiTheme="majorHAnsi" w:eastAsiaTheme="majorEastAsia" w:hAnsiTheme="majorHAnsi" w:cstheme="majorBidi"/>
                                    <w:color w:val="262626" w:themeColor="text1" w:themeTint="D9"/>
                                    <w:sz w:val="44"/>
                                    <w:szCs w:val="44"/>
                                  </w:rPr>
                                  <w:t xml:space="preserve">Intake BCom 23 </w:t>
                                </w:r>
                                <w:r>
                                  <w:rPr>
                                    <w:rFonts w:asciiTheme="majorHAnsi" w:eastAsiaTheme="majorEastAsia" w:hAnsiTheme="majorHAnsi" w:cstheme="majorBidi"/>
                                    <w:color w:val="262626" w:themeColor="text1" w:themeTint="D9"/>
                                    <w:sz w:val="44"/>
                                    <w:szCs w:val="44"/>
                                  </w:rPr>
                                  <w:br/>
                                  <w:t>Lecturer: Daniel Theyagu</w:t>
                                </w:r>
                                <w:r>
                                  <w:rPr>
                                    <w:rFonts w:asciiTheme="majorHAnsi" w:eastAsiaTheme="majorEastAsia" w:hAnsiTheme="majorHAnsi" w:cstheme="majorBidi"/>
                                    <w:color w:val="262626" w:themeColor="text1" w:themeTint="D9"/>
                                    <w:sz w:val="44"/>
                                    <w:szCs w:val="44"/>
                                  </w:rPr>
                                  <w:br/>
                                  <w:t xml:space="preserve">Program Manager: Hazel Ong </w:t>
                                </w:r>
                                <w:sdt>
                                  <w:sdtPr>
                                    <w:rPr>
                                      <w:rFonts w:asciiTheme="majorHAnsi" w:eastAsiaTheme="majorEastAsia" w:hAnsiTheme="majorHAnsi" w:cstheme="majorBidi"/>
                                      <w:color w:val="262626" w:themeColor="text1" w:themeTint="D9"/>
                                      <w:sz w:val="72"/>
                                      <w:szCs w:val="72"/>
                                    </w:rPr>
                                    <w:alias w:val="Title"/>
                                    <w:tag w:val=""/>
                                    <w:id w:val="1996453031"/>
                                    <w:showingPlcHdr/>
                                    <w:dataBinding w:prefixMappings="xmlns:ns0='http://purl.org/dc/elements/1.1/' xmlns:ns1='http://schemas.openxmlformats.org/package/2006/metadata/core-properties' " w:xpath="/ns1:coreProperties[1]/ns0:title[1]" w:storeItemID="{6C3C8BC8-F283-45AE-878A-BAB7291924A1}"/>
                                    <w:text/>
                                  </w:sdtPr>
                                  <w:sdtContent>
                                    <w:proofErr w:type="gramStart"/>
                                    <w:r>
                                      <w:rPr>
                                        <w:rFonts w:asciiTheme="majorHAnsi" w:eastAsiaTheme="majorEastAsia" w:hAnsiTheme="majorHAnsi" w:cstheme="majorBidi"/>
                                        <w:color w:val="262626" w:themeColor="text1" w:themeTint="D9"/>
                                        <w:sz w:val="72"/>
                                        <w:szCs w:val="72"/>
                                      </w:rPr>
                                      <w:t xml:space="preserve">     </w:t>
                                    </w:r>
                                    <w:proofErr w:type="gramEnd"/>
                                  </w:sdtContent>
                                </w:sdt>
                              </w:p>
                              <w:p w:rsidR="00DC1E83" w:rsidRDefault="00DC1E83" w:rsidP="004B0B01">
                                <w:pPr>
                                  <w:spacing w:before="120"/>
                                  <w:rPr>
                                    <w:color w:val="404040" w:themeColor="text1" w:themeTint="BF"/>
                                    <w:sz w:val="36"/>
                                    <w:szCs w:val="36"/>
                                  </w:rPr>
                                </w:pPr>
                                <w:sdt>
                                  <w:sdtPr>
                                    <w:rPr>
                                      <w:color w:val="404040" w:themeColor="text1" w:themeTint="BF"/>
                                      <w:sz w:val="36"/>
                                      <w:szCs w:val="36"/>
                                    </w:rPr>
                                    <w:alias w:val="Subtitle"/>
                                    <w:tag w:val=""/>
                                    <w:id w:val="-20498388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55" type="#_x0000_t202" style="position:absolute;margin-left:234pt;margin-top:108pt;width:351pt;height:15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" filled="f" stroked="f" strokeweight=".5pt">
                    <v:textbox style="mso-fit-shape-to-text:t" inset="0,0,0,0">
                      <w:txbxContent>
                        <w:p w:rsidR="00DC1E83" w:rsidRPr="004B0B01" w:rsidRDefault="00DC1E83" w:rsidP="004B0B0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Business Law</w:t>
                          </w:r>
                          <w:r>
                            <w:rPr>
                              <w:rFonts w:asciiTheme="majorHAnsi" w:eastAsiaTheme="majorEastAsia" w:hAnsiTheme="majorHAnsi" w:cstheme="majorBidi"/>
                              <w:color w:val="262626" w:themeColor="text1" w:themeTint="D9"/>
                              <w:sz w:val="72"/>
                              <w:szCs w:val="72"/>
                            </w:rPr>
                            <w:br/>
                          </w:r>
                          <w:r>
                            <w:rPr>
                              <w:rFonts w:asciiTheme="majorHAnsi" w:eastAsiaTheme="majorEastAsia" w:hAnsiTheme="majorHAnsi" w:cstheme="majorBidi"/>
                              <w:color w:val="262626" w:themeColor="text1" w:themeTint="D9"/>
                              <w:sz w:val="44"/>
                              <w:szCs w:val="44"/>
                            </w:rPr>
                            <w:t xml:space="preserve">Intake BCom 23 </w:t>
                          </w:r>
                          <w:r>
                            <w:rPr>
                              <w:rFonts w:asciiTheme="majorHAnsi" w:eastAsiaTheme="majorEastAsia" w:hAnsiTheme="majorHAnsi" w:cstheme="majorBidi"/>
                              <w:color w:val="262626" w:themeColor="text1" w:themeTint="D9"/>
                              <w:sz w:val="44"/>
                              <w:szCs w:val="44"/>
                            </w:rPr>
                            <w:br/>
                            <w:t>Lecturer: Daniel Theyagu</w:t>
                          </w:r>
                          <w:r>
                            <w:rPr>
                              <w:rFonts w:asciiTheme="majorHAnsi" w:eastAsiaTheme="majorEastAsia" w:hAnsiTheme="majorHAnsi" w:cstheme="majorBidi"/>
                              <w:color w:val="262626" w:themeColor="text1" w:themeTint="D9"/>
                              <w:sz w:val="44"/>
                              <w:szCs w:val="44"/>
                            </w:rPr>
                            <w:br/>
                            <w:t xml:space="preserve">Program Manager: Hazel Ong </w:t>
                          </w:r>
                          <w:sdt>
                            <w:sdtPr>
                              <w:rPr>
                                <w:rFonts w:asciiTheme="majorHAnsi" w:eastAsiaTheme="majorEastAsia" w:hAnsiTheme="majorHAnsi" w:cstheme="majorBidi"/>
                                <w:color w:val="262626" w:themeColor="text1" w:themeTint="D9"/>
                                <w:sz w:val="72"/>
                                <w:szCs w:val="72"/>
                              </w:rPr>
                              <w:alias w:val="Title"/>
                              <w:tag w:val=""/>
                              <w:id w:val="1996453031"/>
                              <w:showingPlcHdr/>
                              <w:dataBinding w:prefixMappings="xmlns:ns0='http://purl.org/dc/elements/1.1/' xmlns:ns1='http://schemas.openxmlformats.org/package/2006/metadata/core-properties' " w:xpath="/ns1:coreProperties[1]/ns0:title[1]" w:storeItemID="{6C3C8BC8-F283-45AE-878A-BAB7291924A1}"/>
                              <w:text/>
                            </w:sdtPr>
                            <w:sdtContent>
                              <w:proofErr w:type="gramStart"/>
                              <w:r>
                                <w:rPr>
                                  <w:rFonts w:asciiTheme="majorHAnsi" w:eastAsiaTheme="majorEastAsia" w:hAnsiTheme="majorHAnsi" w:cstheme="majorBidi"/>
                                  <w:color w:val="262626" w:themeColor="text1" w:themeTint="D9"/>
                                  <w:sz w:val="72"/>
                                  <w:szCs w:val="72"/>
                                </w:rPr>
                                <w:t xml:space="preserve">     </w:t>
                              </w:r>
                              <w:proofErr w:type="gramEnd"/>
                            </w:sdtContent>
                          </w:sdt>
                        </w:p>
                        <w:p w:rsidR="00DC1E83" w:rsidRDefault="00DC1E83" w:rsidP="004B0B01">
                          <w:pPr>
                            <w:spacing w:before="120"/>
                            <w:rPr>
                              <w:color w:val="404040" w:themeColor="text1" w:themeTint="BF"/>
                              <w:sz w:val="36"/>
                              <w:szCs w:val="36"/>
                            </w:rPr>
                          </w:pPr>
                          <w:sdt>
                            <w:sdtPr>
                              <w:rPr>
                                <w:color w:val="404040" w:themeColor="text1" w:themeTint="BF"/>
                                <w:sz w:val="36"/>
                                <w:szCs w:val="36"/>
                              </w:rPr>
                              <w:alias w:val="Subtitle"/>
                              <w:tag w:val=""/>
                              <w:id w:val="-20498388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sdt>
            <w:sdtPr>
              <w:rPr>
                <w:rFonts w:asciiTheme="majorHAnsi" w:eastAsiaTheme="majorEastAsia" w:hAnsiTheme="majorHAnsi" w:cstheme="majorBidi"/>
                <w:color w:val="262626" w:themeColor="text1" w:themeTint="D9"/>
                <w:sz w:val="72"/>
                <w:szCs w:val="72"/>
              </w:rPr>
              <w:alias w:val="Title"/>
              <w:tag w:val=""/>
              <w:id w:val="1556588506"/>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rsidR="004B0B01" w:rsidRDefault="004B0B01" w:rsidP="004B0B01">
          <w:pPr>
            <w:spacing w:before="120"/>
            <w:rPr>
              <w:color w:val="404040" w:themeColor="text1" w:themeTint="BF"/>
              <w:sz w:val="36"/>
              <w:szCs w:val="36"/>
            </w:rPr>
          </w:pPr>
          <w:sdt>
            <w:sdtPr>
              <w:rPr>
                <w:color w:val="404040" w:themeColor="text1" w:themeTint="BF"/>
                <w:sz w:val="36"/>
                <w:szCs w:val="36"/>
              </w:rPr>
              <w:alias w:val="Subtitle"/>
              <w:tag w:val=""/>
              <w:id w:val="-892887229"/>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p w:rsidR="004B0B01" w:rsidRDefault="004B0B01" w:rsidP="004B0B01">
          <w:pPr>
            <w:pStyle w:val="NoSpacing"/>
            <w:rPr>
              <w:rFonts w:asciiTheme="majorHAnsi" w:eastAsiaTheme="majorEastAsia" w:hAnsiTheme="majorHAnsi" w:cstheme="majorBidi"/>
              <w:color w:val="262626" w:themeColor="text1" w:themeTint="D9"/>
              <w:sz w:val="72"/>
            </w:rPr>
          </w:pPr>
          <w:r>
            <w:rPr>
              <w:noProof/>
            </w:rPr>
            <w:t xml:space="preserve"> </w:t>
          </w:r>
          <w:sdt>
            <w:sdtPr>
              <w:rPr>
                <w:rFonts w:asciiTheme="majorHAnsi" w:eastAsiaTheme="majorEastAsia" w:hAnsiTheme="majorHAnsi" w:cstheme="majorBidi"/>
                <w:color w:val="262626" w:themeColor="text1" w:themeTint="D9"/>
                <w:sz w:val="72"/>
                <w:szCs w:val="72"/>
              </w:rPr>
              <w:alias w:val="Title"/>
              <w:tag w:val=""/>
              <w:id w:val="1669588505"/>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rsidR="004B0B01" w:rsidRDefault="004B0B01" w:rsidP="004B0B01">
          <w:pPr>
            <w:spacing w:before="120"/>
            <w:rPr>
              <w:color w:val="404040" w:themeColor="text1" w:themeTint="BF"/>
              <w:sz w:val="36"/>
              <w:szCs w:val="36"/>
            </w:rPr>
          </w:pPr>
          <w:sdt>
            <w:sdtPr>
              <w:rPr>
                <w:color w:val="404040" w:themeColor="text1" w:themeTint="BF"/>
                <w:sz w:val="36"/>
                <w:szCs w:val="36"/>
              </w:rPr>
              <w:alias w:val="Subtitle"/>
              <w:tag w:val=""/>
              <w:id w:val="-1422331038"/>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p w:rsidR="004B0B01" w:rsidRDefault="00DC1E83" w:rsidP="004B0B01">
          <w:pPr>
            <w:pStyle w:val="NoSpacing"/>
            <w:rPr>
              <w:rFonts w:asciiTheme="majorHAnsi" w:eastAsiaTheme="majorEastAsia" w:hAnsiTheme="majorHAnsi" w:cstheme="majorBidi"/>
              <w:color w:val="262626" w:themeColor="text1" w:themeTint="D9"/>
              <w:sz w:val="72"/>
            </w:rPr>
          </w:pPr>
          <w:r>
            <w:rPr>
              <w:noProof/>
            </w:rPr>
            <mc:AlternateContent>
              <mc:Choice Requires="wps">
                <w:drawing>
                  <wp:anchor distT="0" distB="0" distL="114300" distR="114300" simplePos="0" relativeHeight="251661312" behindDoc="0" locked="0" layoutInCell="1" allowOverlap="1" wp14:anchorId="47B84964" wp14:editId="03E45C4C">
                    <wp:simplePos x="0" y="0"/>
                    <wp:positionH relativeFrom="page">
                      <wp:posOffset>2971800</wp:posOffset>
                    </wp:positionH>
                    <wp:positionV relativeFrom="page">
                      <wp:posOffset>3200400</wp:posOffset>
                    </wp:positionV>
                    <wp:extent cx="3399155" cy="631825"/>
                    <wp:effectExtent l="0" t="0" r="3175" b="3175"/>
                    <wp:wrapNone/>
                    <wp:docPr id="32" name="Text Box 32"/>
                    <wp:cNvGraphicFramePr/>
                    <a:graphic xmlns:a="http://schemas.openxmlformats.org/drawingml/2006/main">
                      <a:graphicData uri="http://schemas.microsoft.com/office/word/2010/wordprocessingShape">
                        <wps:wsp>
                          <wps:cNvSpPr txBox="1"/>
                          <wps:spPr>
                            <a:xfrm>
                              <a:off x="0" y="0"/>
                              <a:ext cx="3399155" cy="631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E83" w:rsidRPr="004C66BB" w:rsidRDefault="00DC1E83" w:rsidP="004B0B01">
                                <w:pPr>
                                  <w:pStyle w:val="NoSpacing"/>
                                  <w:rPr>
                                    <w:color w:val="4F81BD" w:themeColor="accent1"/>
                                    <w:sz w:val="28"/>
                                    <w:szCs w:val="28"/>
                                  </w:rPr>
                                </w:pPr>
                                <w:sdt>
                                  <w:sdtPr>
                                    <w:rPr>
                                      <w:color w:val="4F81BD" w:themeColor="accent1"/>
                                      <w:sz w:val="28"/>
                                      <w:szCs w:val="28"/>
                                    </w:rPr>
                                    <w:alias w:val="Author"/>
                                    <w:tag w:val=""/>
                                    <w:id w:val="-157003298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8"/>
                                        <w:szCs w:val="28"/>
                                      </w:rPr>
                                      <w:t xml:space="preserve">Serena Maybelle Tay </w:t>
                                    </w:r>
                                  </w:sdtContent>
                                </w:sdt>
                              </w:p>
                              <w:p w:rsidR="00DC1E83" w:rsidRPr="004C66BB" w:rsidRDefault="00DC1E83" w:rsidP="004B0B01">
                                <w:pPr>
                                  <w:pStyle w:val="NoSpacing"/>
                                  <w:rPr>
                                    <w:color w:val="595959" w:themeColor="text1" w:themeTint="A6"/>
                                    <w:sz w:val="28"/>
                                    <w:szCs w:val="28"/>
                                  </w:rPr>
                                </w:pPr>
                                <w:r w:rsidRPr="004C66BB">
                                  <w:rPr>
                                    <w:caps/>
                                    <w:color w:val="595959" w:themeColor="text1" w:themeTint="A6"/>
                                    <w:sz w:val="28"/>
                                    <w:szCs w:val="28"/>
                                  </w:rPr>
                                  <w:t>NRIC: S9113394F</w:t>
                                </w:r>
                                <w:r w:rsidRPr="004C66BB">
                                  <w:rPr>
                                    <w:caps/>
                                    <w:color w:val="595959" w:themeColor="text1" w:themeTint="A6"/>
                                    <w:sz w:val="28"/>
                                    <w:szCs w:val="28"/>
                                  </w:rPr>
                                  <w:br/>
                                  <w:t xml:space="preserve">STUDENT ID: 32041865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34pt;margin-top:252pt;width:267.65pt;height:49.7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" filled="f" stroked="f" strokeweight=".5pt">
                    <v:textbox style="mso-fit-shape-to-text:t" inset="0,0,0,0">
                      <w:txbxContent>
                        <w:p w:rsidR="00DC1E83" w:rsidRPr="004C66BB" w:rsidRDefault="00DC1E83" w:rsidP="004B0B01">
                          <w:pPr>
                            <w:pStyle w:val="NoSpacing"/>
                            <w:rPr>
                              <w:color w:val="4F81BD" w:themeColor="accent1"/>
                              <w:sz w:val="28"/>
                              <w:szCs w:val="28"/>
                            </w:rPr>
                          </w:pPr>
                          <w:sdt>
                            <w:sdtPr>
                              <w:rPr>
                                <w:color w:val="4F81BD" w:themeColor="accent1"/>
                                <w:sz w:val="28"/>
                                <w:szCs w:val="28"/>
                              </w:rPr>
                              <w:alias w:val="Author"/>
                              <w:tag w:val=""/>
                              <w:id w:val="-157003298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8"/>
                                  <w:szCs w:val="28"/>
                                </w:rPr>
                                <w:t xml:space="preserve">Serena Maybelle Tay </w:t>
                              </w:r>
                            </w:sdtContent>
                          </w:sdt>
                        </w:p>
                        <w:p w:rsidR="00DC1E83" w:rsidRPr="004C66BB" w:rsidRDefault="00DC1E83" w:rsidP="004B0B01">
                          <w:pPr>
                            <w:pStyle w:val="NoSpacing"/>
                            <w:rPr>
                              <w:color w:val="595959" w:themeColor="text1" w:themeTint="A6"/>
                              <w:sz w:val="28"/>
                              <w:szCs w:val="28"/>
                            </w:rPr>
                          </w:pPr>
                          <w:r w:rsidRPr="004C66BB">
                            <w:rPr>
                              <w:caps/>
                              <w:color w:val="595959" w:themeColor="text1" w:themeTint="A6"/>
                              <w:sz w:val="28"/>
                              <w:szCs w:val="28"/>
                            </w:rPr>
                            <w:t>NRIC: S9113394F</w:t>
                          </w:r>
                          <w:r w:rsidRPr="004C66BB">
                            <w:rPr>
                              <w:caps/>
                              <w:color w:val="595959" w:themeColor="text1" w:themeTint="A6"/>
                              <w:sz w:val="28"/>
                              <w:szCs w:val="28"/>
                            </w:rPr>
                            <w:br/>
                            <w:t xml:space="preserve">STUDENT ID: 32041865 </w:t>
                          </w:r>
                        </w:p>
                      </w:txbxContent>
                    </v:textbox>
                    <w10:wrap anchorx="page" anchory="page"/>
                  </v:shape>
                </w:pict>
              </mc:Fallback>
            </mc:AlternateContent>
          </w:r>
          <w:r w:rsidR="004B0B01">
            <w:rPr>
              <w:noProof/>
            </w:rPr>
            <w:t xml:space="preserve"> </w:t>
          </w:r>
          <w:sdt>
            <w:sdtPr>
              <w:rPr>
                <w:rFonts w:asciiTheme="majorHAnsi" w:eastAsiaTheme="majorEastAsia" w:hAnsiTheme="majorHAnsi" w:cstheme="majorBidi"/>
                <w:color w:val="262626" w:themeColor="text1" w:themeTint="D9"/>
                <w:sz w:val="72"/>
                <w:szCs w:val="72"/>
              </w:rPr>
              <w:alias w:val="Title"/>
              <w:tag w:val=""/>
              <w:id w:val="-1887167727"/>
              <w:showingPlcHdr/>
              <w:dataBinding w:prefixMappings="xmlns:ns0='http://purl.org/dc/elements/1.1/' xmlns:ns1='http://schemas.openxmlformats.org/package/2006/metadata/core-properties' " w:xpath="/ns1:coreProperties[1]/ns0:title[1]" w:storeItemID="{6C3C8BC8-F283-45AE-878A-BAB7291924A1}"/>
              <w:text/>
            </w:sdtPr>
            <w:sdtContent>
              <w:r w:rsidR="004B0B01">
                <w:rPr>
                  <w:rFonts w:asciiTheme="majorHAnsi" w:eastAsiaTheme="majorEastAsia" w:hAnsiTheme="majorHAnsi" w:cstheme="majorBidi"/>
                  <w:color w:val="262626" w:themeColor="text1" w:themeTint="D9"/>
                  <w:sz w:val="72"/>
                  <w:szCs w:val="72"/>
                </w:rPr>
                <w:t xml:space="preserve">     </w:t>
              </w:r>
            </w:sdtContent>
          </w:sdt>
        </w:p>
        <w:p w:rsidR="004B0B01" w:rsidRDefault="004B0B01" w:rsidP="004B0B01">
          <w:pPr>
            <w:spacing w:before="120"/>
            <w:rPr>
              <w:color w:val="404040" w:themeColor="text1" w:themeTint="BF"/>
              <w:sz w:val="36"/>
              <w:szCs w:val="36"/>
            </w:rPr>
          </w:pPr>
          <w:sdt>
            <w:sdtPr>
              <w:rPr>
                <w:color w:val="404040" w:themeColor="text1" w:themeTint="BF"/>
                <w:sz w:val="36"/>
                <w:szCs w:val="36"/>
              </w:rPr>
              <w:alias w:val="Subtitle"/>
              <w:tag w:val=""/>
              <w:id w:val="-1460031899"/>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p w:rsidR="004B0B01" w:rsidRDefault="004B0B01" w:rsidP="004B0B01">
          <w:pPr>
            <w:pStyle w:val="NoSpacing"/>
            <w:rPr>
              <w:rFonts w:asciiTheme="majorHAnsi" w:eastAsiaTheme="majorEastAsia" w:hAnsiTheme="majorHAnsi" w:cstheme="majorBidi"/>
              <w:color w:val="262626" w:themeColor="text1" w:themeTint="D9"/>
              <w:sz w:val="72"/>
            </w:rPr>
          </w:pPr>
          <w:r>
            <w:rPr>
              <w:noProof/>
            </w:rPr>
            <w:t xml:space="preserve"> </w:t>
          </w:r>
          <w:sdt>
            <w:sdtPr>
              <w:rPr>
                <w:rFonts w:asciiTheme="majorHAnsi" w:eastAsiaTheme="majorEastAsia" w:hAnsiTheme="majorHAnsi" w:cstheme="majorBidi"/>
                <w:color w:val="262626" w:themeColor="text1" w:themeTint="D9"/>
                <w:sz w:val="72"/>
                <w:szCs w:val="72"/>
              </w:rPr>
              <w:alias w:val="Title"/>
              <w:tag w:val=""/>
              <w:id w:val="-834076958"/>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rsidR="004B0B01" w:rsidRDefault="004B0B01" w:rsidP="004B0B01">
          <w:pPr>
            <w:spacing w:before="120"/>
            <w:rPr>
              <w:color w:val="404040" w:themeColor="text1" w:themeTint="BF"/>
              <w:sz w:val="36"/>
              <w:szCs w:val="36"/>
            </w:rPr>
          </w:pPr>
          <w:sdt>
            <w:sdtPr>
              <w:rPr>
                <w:color w:val="404040" w:themeColor="text1" w:themeTint="BF"/>
                <w:sz w:val="36"/>
                <w:szCs w:val="36"/>
              </w:rPr>
              <w:alias w:val="Subtitle"/>
              <w:tag w:val=""/>
              <w:id w:val="-151243706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p w:rsidR="004B0B01" w:rsidRDefault="004B0B01" w:rsidP="004B0B01">
          <w:pPr>
            <w:rPr>
              <w:rFonts w:ascii="Arial" w:hAnsi="Arial" w:cs="Arial"/>
              <w:b/>
              <w:sz w:val="36"/>
              <w:szCs w:val="36"/>
            </w:rPr>
          </w:pPr>
          <w:r>
            <w:rPr>
              <w:noProof/>
            </w:rPr>
            <w:t xml:space="preserve"> </w:t>
          </w:r>
          <w:r>
            <w:rPr>
              <w:rFonts w:ascii="Arial" w:hAnsi="Arial" w:cs="Arial"/>
              <w:b/>
              <w:sz w:val="36"/>
              <w:szCs w:val="36"/>
            </w:rPr>
            <w:br w:type="page"/>
          </w:r>
        </w:p>
        <w:p w:rsidR="004B0B01" w:rsidRPr="004B0B01" w:rsidRDefault="004B0B01" w:rsidP="004B0B01">
          <w:pPr>
            <w:rPr>
              <w:rFonts w:ascii="Arial" w:hAnsi="Arial" w:cs="Arial"/>
              <w:b/>
              <w:sz w:val="36"/>
              <w:szCs w:val="36"/>
            </w:rPr>
          </w:pPr>
        </w:p>
      </w:sdtContent>
    </w:sdt>
    <w:p w:rsidR="004B0B01" w:rsidRDefault="004B0B01" w:rsidP="00883F3C">
      <w:pPr>
        <w:spacing w:line="360" w:lineRule="auto"/>
        <w:rPr>
          <w:rFonts w:ascii="Arial" w:hAnsi="Arial" w:cs="Arial"/>
        </w:rPr>
      </w:pPr>
      <w:r>
        <w:rPr>
          <w:rFonts w:ascii="Arial" w:hAnsi="Arial" w:cs="Arial"/>
        </w:rPr>
        <w:t xml:space="preserve">a) </w:t>
      </w:r>
      <w:r w:rsidR="002611FE" w:rsidRPr="00883F3C">
        <w:rPr>
          <w:rFonts w:ascii="Arial" w:hAnsi="Arial" w:cs="Arial"/>
        </w:rPr>
        <w:t>The legal issue</w:t>
      </w:r>
      <w:r w:rsidR="00074ED8" w:rsidRPr="00883F3C">
        <w:rPr>
          <w:rFonts w:ascii="Arial" w:hAnsi="Arial" w:cs="Arial"/>
        </w:rPr>
        <w:t xml:space="preserve"> </w:t>
      </w:r>
      <w:r w:rsidR="002611FE" w:rsidRPr="00883F3C">
        <w:rPr>
          <w:rFonts w:ascii="Arial" w:hAnsi="Arial" w:cs="Arial"/>
        </w:rPr>
        <w:t>is to examine</w:t>
      </w:r>
      <w:r w:rsidR="0004566F" w:rsidRPr="00883F3C">
        <w:rPr>
          <w:rFonts w:ascii="Arial" w:hAnsi="Arial" w:cs="Arial"/>
        </w:rPr>
        <w:t xml:space="preserve"> if any action can be </w:t>
      </w:r>
      <w:r w:rsidR="008C6471" w:rsidRPr="00883F3C">
        <w:rPr>
          <w:rFonts w:ascii="Arial" w:hAnsi="Arial" w:cs="Arial"/>
        </w:rPr>
        <w:t xml:space="preserve">taken against Hewlett </w:t>
      </w:r>
    </w:p>
    <w:p w:rsidR="00074ED8" w:rsidRPr="00883F3C" w:rsidRDefault="004B0B01" w:rsidP="00883F3C">
      <w:pPr>
        <w:spacing w:line="360" w:lineRule="auto"/>
        <w:rPr>
          <w:rFonts w:ascii="Arial" w:hAnsi="Arial" w:cs="Arial"/>
        </w:rPr>
      </w:pPr>
      <w:proofErr w:type="gramStart"/>
      <w:r>
        <w:rPr>
          <w:rFonts w:ascii="Arial" w:hAnsi="Arial" w:cs="Arial"/>
        </w:rPr>
        <w:t>by</w:t>
      </w:r>
      <w:proofErr w:type="gramEnd"/>
      <w:r>
        <w:rPr>
          <w:rFonts w:ascii="Arial" w:hAnsi="Arial" w:cs="Arial"/>
        </w:rPr>
        <w:t xml:space="preserve"> determining if a contract had been</w:t>
      </w:r>
      <w:r w:rsidR="008C6471" w:rsidRPr="00883F3C">
        <w:rPr>
          <w:rFonts w:ascii="Arial" w:hAnsi="Arial" w:cs="Arial"/>
        </w:rPr>
        <w:t xml:space="preserve"> formed </w:t>
      </w:r>
      <w:r w:rsidR="0004566F" w:rsidRPr="00883F3C">
        <w:rPr>
          <w:rFonts w:ascii="Arial" w:hAnsi="Arial" w:cs="Arial"/>
        </w:rPr>
        <w:t xml:space="preserve">when Packard agreed to </w:t>
      </w:r>
      <w:r>
        <w:rPr>
          <w:rFonts w:ascii="Arial" w:hAnsi="Arial" w:cs="Arial"/>
        </w:rPr>
        <w:t xml:space="preserve">purchase the laptop and </w:t>
      </w:r>
      <w:r w:rsidR="008A5240">
        <w:rPr>
          <w:rFonts w:ascii="Arial" w:hAnsi="Arial" w:cs="Arial"/>
        </w:rPr>
        <w:t>whether Hewlett</w:t>
      </w:r>
      <w:r w:rsidR="00A139A0" w:rsidRPr="00883F3C">
        <w:rPr>
          <w:rFonts w:ascii="Arial" w:hAnsi="Arial" w:cs="Arial"/>
        </w:rPr>
        <w:t xml:space="preserve"> breached the contract by selling the laptop at a higher price to Compac. </w:t>
      </w:r>
    </w:p>
    <w:p w:rsidR="00074ED8" w:rsidRPr="00883F3C" w:rsidRDefault="00074ED8" w:rsidP="00883F3C">
      <w:pPr>
        <w:spacing w:line="360" w:lineRule="auto"/>
        <w:rPr>
          <w:rFonts w:ascii="Arial" w:hAnsi="Arial" w:cs="Arial"/>
        </w:rPr>
      </w:pPr>
    </w:p>
    <w:p w:rsidR="007C6CD8" w:rsidRPr="00883F3C" w:rsidRDefault="007C6CD8" w:rsidP="00883F3C">
      <w:pPr>
        <w:spacing w:line="360" w:lineRule="auto"/>
        <w:rPr>
          <w:rFonts w:ascii="Arial" w:hAnsi="Arial" w:cs="Arial"/>
        </w:rPr>
      </w:pPr>
      <w:r w:rsidRPr="00883F3C">
        <w:rPr>
          <w:rFonts w:ascii="Arial" w:hAnsi="Arial" w:cs="Arial"/>
        </w:rPr>
        <w:t>Firsty, we have to distinguish if this is an offer or invi</w:t>
      </w:r>
      <w:r w:rsidR="00E87958" w:rsidRPr="00883F3C">
        <w:rPr>
          <w:rFonts w:ascii="Arial" w:hAnsi="Arial" w:cs="Arial"/>
        </w:rPr>
        <w:t>tation to treat. An offer takes pla</w:t>
      </w:r>
      <w:r w:rsidR="00193051" w:rsidRPr="00883F3C">
        <w:rPr>
          <w:rFonts w:ascii="Arial" w:hAnsi="Arial" w:cs="Arial"/>
        </w:rPr>
        <w:t>ce when the offeror expresses an intention to be bound by the offeree. There is communication between both parties on the offeror’s will</w:t>
      </w:r>
      <w:r w:rsidR="00DD62BB">
        <w:rPr>
          <w:rFonts w:ascii="Arial" w:hAnsi="Arial" w:cs="Arial"/>
        </w:rPr>
        <w:t xml:space="preserve">ingness to make a promise, equating to a </w:t>
      </w:r>
      <w:r w:rsidR="00193051" w:rsidRPr="00883F3C">
        <w:rPr>
          <w:rFonts w:ascii="Arial" w:hAnsi="Arial" w:cs="Arial"/>
        </w:rPr>
        <w:t xml:space="preserve">binding contract. However, an invitation to treat is merely an action by one party to invite interested parties in making an offer to form a contract. </w:t>
      </w:r>
      <w:r w:rsidR="00DD62BB">
        <w:rPr>
          <w:rFonts w:ascii="Arial" w:hAnsi="Arial" w:cs="Arial"/>
        </w:rPr>
        <w:t>A</w:t>
      </w:r>
      <w:r w:rsidR="00193051" w:rsidRPr="00883F3C">
        <w:rPr>
          <w:rFonts w:ascii="Arial" w:hAnsi="Arial" w:cs="Arial"/>
        </w:rPr>
        <w:t xml:space="preserve">ccepting an offer requires a legally binding contract whereas accepting an invitation to treat is merely making an offer. </w:t>
      </w:r>
    </w:p>
    <w:p w:rsidR="00E87958" w:rsidRPr="00883F3C" w:rsidRDefault="00E87958" w:rsidP="00883F3C">
      <w:pPr>
        <w:spacing w:line="360" w:lineRule="auto"/>
        <w:rPr>
          <w:rFonts w:ascii="Arial" w:hAnsi="Arial" w:cs="Arial"/>
        </w:rPr>
      </w:pPr>
    </w:p>
    <w:p w:rsidR="00C169E7" w:rsidRPr="00883F3C" w:rsidRDefault="007C6CD8" w:rsidP="00883F3C">
      <w:pPr>
        <w:spacing w:line="360" w:lineRule="auto"/>
        <w:rPr>
          <w:rFonts w:ascii="Arial" w:hAnsi="Arial" w:cs="Arial"/>
        </w:rPr>
      </w:pPr>
      <w:r w:rsidRPr="00883F3C">
        <w:rPr>
          <w:rFonts w:ascii="Arial" w:hAnsi="Arial" w:cs="Arial"/>
        </w:rPr>
        <w:t>Hewlett is making a bilateral offer by of</w:t>
      </w:r>
      <w:r w:rsidR="00C610F2">
        <w:rPr>
          <w:rFonts w:ascii="Arial" w:hAnsi="Arial" w:cs="Arial"/>
        </w:rPr>
        <w:t xml:space="preserve">fering his latop at $800 to any </w:t>
      </w:r>
      <w:r w:rsidRPr="00883F3C">
        <w:rPr>
          <w:rFonts w:ascii="Arial" w:hAnsi="Arial" w:cs="Arial"/>
        </w:rPr>
        <w:t xml:space="preserve">classmates. </w:t>
      </w:r>
      <w:r w:rsidR="00C169E7" w:rsidRPr="00883F3C">
        <w:rPr>
          <w:rFonts w:ascii="Arial" w:hAnsi="Arial" w:cs="Arial"/>
        </w:rPr>
        <w:t>An offer has to be clear, complete and final</w:t>
      </w:r>
      <w:r w:rsidR="00C610F2">
        <w:rPr>
          <w:rFonts w:ascii="Arial" w:hAnsi="Arial" w:cs="Arial"/>
        </w:rPr>
        <w:t xml:space="preserve">. Hewlett’s </w:t>
      </w:r>
      <w:r w:rsidR="00596D0E">
        <w:rPr>
          <w:rFonts w:ascii="Arial" w:hAnsi="Arial" w:cs="Arial"/>
        </w:rPr>
        <w:t xml:space="preserve">offer </w:t>
      </w:r>
      <w:r w:rsidR="00C169E7" w:rsidRPr="00883F3C">
        <w:rPr>
          <w:rFonts w:ascii="Arial" w:hAnsi="Arial" w:cs="Arial"/>
        </w:rPr>
        <w:t>was not vague, as it is understood that the laptop was being offered at $800</w:t>
      </w:r>
      <w:r w:rsidR="00C610F2">
        <w:rPr>
          <w:rFonts w:ascii="Arial" w:hAnsi="Arial" w:cs="Arial"/>
        </w:rPr>
        <w:t xml:space="preserve"> to any classmates</w:t>
      </w:r>
      <w:r w:rsidR="00C169E7" w:rsidRPr="00883F3C">
        <w:rPr>
          <w:rFonts w:ascii="Arial" w:hAnsi="Arial" w:cs="Arial"/>
        </w:rPr>
        <w:t xml:space="preserve">. It was complete in terms </w:t>
      </w:r>
      <w:r w:rsidR="00C610F2">
        <w:rPr>
          <w:rFonts w:ascii="Arial" w:hAnsi="Arial" w:cs="Arial"/>
        </w:rPr>
        <w:t>that</w:t>
      </w:r>
      <w:r w:rsidR="00C169E7" w:rsidRPr="00883F3C">
        <w:rPr>
          <w:rFonts w:ascii="Arial" w:hAnsi="Arial" w:cs="Arial"/>
        </w:rPr>
        <w:t xml:space="preserve"> both partie</w:t>
      </w:r>
      <w:r w:rsidR="00C610F2">
        <w:rPr>
          <w:rFonts w:ascii="Arial" w:hAnsi="Arial" w:cs="Arial"/>
        </w:rPr>
        <w:t xml:space="preserve">s </w:t>
      </w:r>
      <w:r w:rsidR="00DD62BB">
        <w:rPr>
          <w:rFonts w:ascii="Arial" w:hAnsi="Arial" w:cs="Arial"/>
        </w:rPr>
        <w:t>know</w:t>
      </w:r>
      <w:r w:rsidR="00591D4D" w:rsidRPr="00883F3C">
        <w:rPr>
          <w:rFonts w:ascii="Arial" w:hAnsi="Arial" w:cs="Arial"/>
        </w:rPr>
        <w:t xml:space="preserve"> </w:t>
      </w:r>
      <w:r w:rsidR="00596D0E">
        <w:rPr>
          <w:rFonts w:ascii="Arial" w:hAnsi="Arial" w:cs="Arial"/>
        </w:rPr>
        <w:t>what they are getting and had</w:t>
      </w:r>
      <w:r w:rsidR="00591D4D" w:rsidRPr="00883F3C">
        <w:rPr>
          <w:rFonts w:ascii="Arial" w:hAnsi="Arial" w:cs="Arial"/>
        </w:rPr>
        <w:t xml:space="preserve"> to give. Lastly, the offer was final, </w:t>
      </w:r>
      <w:r w:rsidR="00596D0E">
        <w:rPr>
          <w:rFonts w:ascii="Arial" w:hAnsi="Arial" w:cs="Arial"/>
        </w:rPr>
        <w:t xml:space="preserve">as </w:t>
      </w:r>
      <w:r w:rsidR="00C610F2">
        <w:rPr>
          <w:rFonts w:ascii="Arial" w:hAnsi="Arial" w:cs="Arial"/>
        </w:rPr>
        <w:t>Hewlett will be bound by</w:t>
      </w:r>
      <w:r w:rsidR="00591D4D" w:rsidRPr="00883F3C">
        <w:rPr>
          <w:rFonts w:ascii="Arial" w:hAnsi="Arial" w:cs="Arial"/>
        </w:rPr>
        <w:t xml:space="preserve"> clear and complete terms once Packard has accepted the offer. </w:t>
      </w:r>
      <w:r w:rsidR="00193051" w:rsidRPr="00883F3C">
        <w:rPr>
          <w:rFonts w:ascii="Arial" w:hAnsi="Arial" w:cs="Arial"/>
        </w:rPr>
        <w:t xml:space="preserve">By </w:t>
      </w:r>
      <w:r w:rsidR="00C169E7" w:rsidRPr="00883F3C">
        <w:rPr>
          <w:rFonts w:ascii="Arial" w:hAnsi="Arial" w:cs="Arial"/>
        </w:rPr>
        <w:t xml:space="preserve">agreeing that he will give the laptop to Packard after transferring his data, Hewlett has conducted a willingness to enter into a binding contract that states the terms of the agreement </w:t>
      </w:r>
      <w:r w:rsidR="00BB1F63">
        <w:rPr>
          <w:rFonts w:ascii="Arial" w:hAnsi="Arial" w:cs="Arial"/>
        </w:rPr>
        <w:t xml:space="preserve">of the accepted offer. </w:t>
      </w:r>
      <w:r w:rsidR="00596D0E">
        <w:rPr>
          <w:rFonts w:ascii="Arial" w:hAnsi="Arial" w:cs="Arial"/>
        </w:rPr>
        <w:t xml:space="preserve"> </w:t>
      </w:r>
    </w:p>
    <w:p w:rsidR="00591D4D" w:rsidRPr="00883F3C" w:rsidRDefault="00591D4D" w:rsidP="00883F3C">
      <w:pPr>
        <w:spacing w:line="360" w:lineRule="auto"/>
        <w:rPr>
          <w:rFonts w:ascii="Arial" w:hAnsi="Arial" w:cs="Arial"/>
        </w:rPr>
      </w:pPr>
    </w:p>
    <w:p w:rsidR="00E87958" w:rsidRDefault="00C169E7" w:rsidP="00883F3C">
      <w:pPr>
        <w:spacing w:line="360" w:lineRule="auto"/>
        <w:rPr>
          <w:rFonts w:ascii="Arial" w:hAnsi="Arial" w:cs="Arial"/>
        </w:rPr>
      </w:pPr>
      <w:r w:rsidRPr="00883F3C">
        <w:rPr>
          <w:rFonts w:ascii="Arial" w:hAnsi="Arial" w:cs="Arial"/>
        </w:rPr>
        <w:t xml:space="preserve">Acceptance </w:t>
      </w:r>
      <w:r w:rsidR="00BA5FF6" w:rsidRPr="00883F3C">
        <w:rPr>
          <w:rFonts w:ascii="Arial" w:hAnsi="Arial" w:cs="Arial"/>
        </w:rPr>
        <w:t xml:space="preserve">occurs when the offeree agrees to the offeror by an act or statement. The </w:t>
      </w:r>
      <w:r w:rsidR="00596D0E">
        <w:rPr>
          <w:rFonts w:ascii="Arial" w:hAnsi="Arial" w:cs="Arial"/>
        </w:rPr>
        <w:t xml:space="preserve">offer is </w:t>
      </w:r>
      <w:r w:rsidR="00591D4D" w:rsidRPr="00883F3C">
        <w:rPr>
          <w:rFonts w:ascii="Arial" w:hAnsi="Arial" w:cs="Arial"/>
        </w:rPr>
        <w:t xml:space="preserve">accepted </w:t>
      </w:r>
      <w:r w:rsidR="00BA5FF6" w:rsidRPr="00883F3C">
        <w:rPr>
          <w:rFonts w:ascii="Arial" w:hAnsi="Arial" w:cs="Arial"/>
        </w:rPr>
        <w:t xml:space="preserve">when it is communicated unequivocally between both parties and becomes a promise. </w:t>
      </w:r>
      <w:r w:rsidR="005C5D70">
        <w:rPr>
          <w:rFonts w:ascii="Arial" w:hAnsi="Arial" w:cs="Arial"/>
        </w:rPr>
        <w:t>The o</w:t>
      </w:r>
      <w:r w:rsidR="00BA5FF6" w:rsidRPr="00883F3C">
        <w:rPr>
          <w:rFonts w:ascii="Arial" w:hAnsi="Arial" w:cs="Arial"/>
        </w:rPr>
        <w:t xml:space="preserve">ffer and acceptance has to be fully understood by both parties. </w:t>
      </w:r>
      <w:r w:rsidR="00596D0E">
        <w:rPr>
          <w:rFonts w:ascii="Arial" w:hAnsi="Arial" w:cs="Arial"/>
        </w:rPr>
        <w:t>A</w:t>
      </w:r>
      <w:r w:rsidR="00BA5FF6" w:rsidRPr="00883F3C">
        <w:rPr>
          <w:rFonts w:ascii="Arial" w:hAnsi="Arial" w:cs="Arial"/>
        </w:rPr>
        <w:t xml:space="preserve"> simple and verbal contract </w:t>
      </w:r>
      <w:r w:rsidR="00596D0E">
        <w:rPr>
          <w:rFonts w:ascii="Arial" w:hAnsi="Arial" w:cs="Arial"/>
        </w:rPr>
        <w:t>makes</w:t>
      </w:r>
      <w:r w:rsidR="001374A0" w:rsidRPr="00883F3C">
        <w:rPr>
          <w:rFonts w:ascii="Arial" w:hAnsi="Arial" w:cs="Arial"/>
        </w:rPr>
        <w:t xml:space="preserve"> Hewlett and Packard </w:t>
      </w:r>
      <w:r w:rsidR="00BA5FF6" w:rsidRPr="00883F3C">
        <w:rPr>
          <w:rFonts w:ascii="Arial" w:hAnsi="Arial" w:cs="Arial"/>
        </w:rPr>
        <w:t xml:space="preserve">legally bound to </w:t>
      </w:r>
      <w:r w:rsidR="001374A0" w:rsidRPr="00883F3C">
        <w:rPr>
          <w:rFonts w:ascii="Arial" w:hAnsi="Arial" w:cs="Arial"/>
        </w:rPr>
        <w:t xml:space="preserve">each </w:t>
      </w:r>
      <w:r w:rsidR="00596D0E">
        <w:rPr>
          <w:rFonts w:ascii="Arial" w:hAnsi="Arial" w:cs="Arial"/>
        </w:rPr>
        <w:t>other in promising to supply</w:t>
      </w:r>
      <w:r w:rsidR="001374A0" w:rsidRPr="00883F3C">
        <w:rPr>
          <w:rFonts w:ascii="Arial" w:hAnsi="Arial" w:cs="Arial"/>
        </w:rPr>
        <w:t xml:space="preserve"> goo</w:t>
      </w:r>
      <w:r w:rsidR="00596D0E">
        <w:rPr>
          <w:rFonts w:ascii="Arial" w:hAnsi="Arial" w:cs="Arial"/>
        </w:rPr>
        <w:t>ds and promising to pay a price</w:t>
      </w:r>
      <w:r w:rsidR="001374A0" w:rsidRPr="00883F3C">
        <w:rPr>
          <w:rFonts w:ascii="Arial" w:hAnsi="Arial" w:cs="Arial"/>
        </w:rPr>
        <w:t xml:space="preserve"> respectively. </w:t>
      </w:r>
    </w:p>
    <w:p w:rsidR="005C5D70" w:rsidRPr="00883F3C" w:rsidRDefault="005C5D70" w:rsidP="00883F3C">
      <w:pPr>
        <w:spacing w:line="360" w:lineRule="auto"/>
        <w:rPr>
          <w:rFonts w:ascii="Arial" w:hAnsi="Arial" w:cs="Arial"/>
        </w:rPr>
      </w:pPr>
    </w:p>
    <w:p w:rsidR="001374A0" w:rsidRDefault="001374A0" w:rsidP="00883F3C">
      <w:pPr>
        <w:spacing w:line="360" w:lineRule="auto"/>
        <w:rPr>
          <w:rFonts w:ascii="Arial" w:hAnsi="Arial" w:cs="Arial"/>
        </w:rPr>
      </w:pPr>
      <w:r w:rsidRPr="00883F3C">
        <w:rPr>
          <w:rFonts w:ascii="Arial" w:hAnsi="Arial" w:cs="Arial"/>
        </w:rPr>
        <w:t xml:space="preserve">When Hewlett sold the laptop at $1000 to Compac, he has broken his promise of offer to Packard. Hewlett, as offeror cannot revoke an offer once Packard, the offeree has accepted it, even if a third party offers a higher price than the original offer. Packard can sue Hewlett for terminating an offer without valid reasons as both parties are in a legally binding contract. </w:t>
      </w:r>
      <w:r w:rsidR="00596D0E">
        <w:rPr>
          <w:rFonts w:ascii="Arial" w:hAnsi="Arial" w:cs="Arial"/>
        </w:rPr>
        <w:t xml:space="preserve">In the </w:t>
      </w:r>
      <w:r w:rsidR="00E87958" w:rsidRPr="00883F3C">
        <w:rPr>
          <w:rFonts w:ascii="Arial" w:hAnsi="Arial" w:cs="Arial"/>
        </w:rPr>
        <w:t xml:space="preserve">case of </w:t>
      </w:r>
      <w:r w:rsidR="00E87958" w:rsidRPr="00883F3C">
        <w:rPr>
          <w:rFonts w:ascii="Arial" w:hAnsi="Arial" w:cs="Arial"/>
          <w:u w:val="single"/>
        </w:rPr>
        <w:t>Carlil v Carbolic Smoke Ball Co (1983)</w:t>
      </w:r>
      <w:r w:rsidR="004C7C42">
        <w:rPr>
          <w:rFonts w:ascii="Arial" w:hAnsi="Arial" w:cs="Arial"/>
        </w:rPr>
        <w:t xml:space="preserve">, </w:t>
      </w:r>
      <w:r w:rsidR="00E87958" w:rsidRPr="00883F3C">
        <w:rPr>
          <w:rFonts w:ascii="Arial" w:hAnsi="Arial" w:cs="Arial"/>
        </w:rPr>
        <w:t xml:space="preserve">the plaintiff </w:t>
      </w:r>
      <w:r w:rsidR="00596D0E">
        <w:rPr>
          <w:rFonts w:ascii="Arial" w:hAnsi="Arial" w:cs="Arial"/>
        </w:rPr>
        <w:t>made</w:t>
      </w:r>
      <w:r w:rsidR="00E87958" w:rsidRPr="00883F3C">
        <w:rPr>
          <w:rFonts w:ascii="Arial" w:hAnsi="Arial" w:cs="Arial"/>
        </w:rPr>
        <w:t xml:space="preserve"> a monetary claim from the defendant </w:t>
      </w:r>
      <w:r w:rsidR="00193051" w:rsidRPr="00883F3C">
        <w:rPr>
          <w:rFonts w:ascii="Arial" w:hAnsi="Arial" w:cs="Arial"/>
        </w:rPr>
        <w:t>as they had offered</w:t>
      </w:r>
      <w:r w:rsidR="00E87958" w:rsidRPr="00883F3C">
        <w:rPr>
          <w:rFonts w:ascii="Arial" w:hAnsi="Arial" w:cs="Arial"/>
        </w:rPr>
        <w:t xml:space="preserve"> $100 to consumers who bought</w:t>
      </w:r>
      <w:r w:rsidR="00596D0E">
        <w:rPr>
          <w:rFonts w:ascii="Arial" w:hAnsi="Arial" w:cs="Arial"/>
        </w:rPr>
        <w:t xml:space="preserve"> and used the smoke ball </w:t>
      </w:r>
      <w:r w:rsidR="00E87958" w:rsidRPr="00883F3C">
        <w:rPr>
          <w:rFonts w:ascii="Arial" w:hAnsi="Arial" w:cs="Arial"/>
        </w:rPr>
        <w:t>and still contracted flu. The court dete</w:t>
      </w:r>
      <w:r w:rsidR="00596D0E">
        <w:rPr>
          <w:rFonts w:ascii="Arial" w:hAnsi="Arial" w:cs="Arial"/>
        </w:rPr>
        <w:t>rmined that the defendant</w:t>
      </w:r>
      <w:r w:rsidR="00E87958" w:rsidRPr="00883F3C">
        <w:rPr>
          <w:rFonts w:ascii="Arial" w:hAnsi="Arial" w:cs="Arial"/>
        </w:rPr>
        <w:t xml:space="preserve"> made an offer and by purchasing and using the product, the plaintiff has accepted the offer, thus able to claim.</w:t>
      </w: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5C5D70" w:rsidRDefault="005C5D70" w:rsidP="00883F3C">
      <w:pPr>
        <w:spacing w:line="360" w:lineRule="auto"/>
        <w:rPr>
          <w:rFonts w:ascii="Arial" w:hAnsi="Arial" w:cs="Arial"/>
        </w:rPr>
      </w:pPr>
    </w:p>
    <w:p w:rsidR="005C5D70" w:rsidRDefault="005C5D70" w:rsidP="00883F3C">
      <w:pPr>
        <w:spacing w:line="360" w:lineRule="auto"/>
        <w:rPr>
          <w:rFonts w:ascii="Arial" w:hAnsi="Arial" w:cs="Arial"/>
        </w:rPr>
      </w:pPr>
    </w:p>
    <w:p w:rsidR="004C7C42" w:rsidRDefault="004C7C42" w:rsidP="00883F3C">
      <w:pPr>
        <w:spacing w:line="360" w:lineRule="auto"/>
        <w:rPr>
          <w:rFonts w:ascii="Arial" w:hAnsi="Arial" w:cs="Arial"/>
        </w:rPr>
      </w:pPr>
    </w:p>
    <w:p w:rsidR="004C7C42" w:rsidRDefault="004C7C42" w:rsidP="00883F3C">
      <w:pPr>
        <w:spacing w:line="360" w:lineRule="auto"/>
        <w:rPr>
          <w:rFonts w:ascii="Arial" w:hAnsi="Arial" w:cs="Arial"/>
        </w:rPr>
      </w:pPr>
    </w:p>
    <w:p w:rsidR="00596D0E" w:rsidRPr="00883F3C" w:rsidRDefault="00596D0E" w:rsidP="00883F3C">
      <w:pPr>
        <w:spacing w:line="360" w:lineRule="auto"/>
        <w:rPr>
          <w:rFonts w:ascii="Arial" w:hAnsi="Arial" w:cs="Arial"/>
        </w:rPr>
      </w:pPr>
    </w:p>
    <w:p w:rsidR="004C7C42" w:rsidRDefault="004C7C42" w:rsidP="00883F3C">
      <w:pPr>
        <w:spacing w:line="360" w:lineRule="auto"/>
        <w:rPr>
          <w:rFonts w:ascii="Arial" w:hAnsi="Arial" w:cs="Arial"/>
        </w:rPr>
      </w:pPr>
      <w:r>
        <w:rPr>
          <w:rFonts w:ascii="Arial" w:hAnsi="Arial" w:cs="Arial"/>
        </w:rPr>
        <w:t>b) T</w:t>
      </w:r>
      <w:r w:rsidR="00625833" w:rsidRPr="00883F3C">
        <w:rPr>
          <w:rFonts w:ascii="Arial" w:hAnsi="Arial" w:cs="Arial"/>
        </w:rPr>
        <w:t xml:space="preserve">he legal issue </w:t>
      </w:r>
      <w:r w:rsidR="008A5240">
        <w:rPr>
          <w:rFonts w:ascii="Arial" w:hAnsi="Arial" w:cs="Arial"/>
        </w:rPr>
        <w:t xml:space="preserve">is whether </w:t>
      </w:r>
      <w:r w:rsidR="00BE7F44" w:rsidRPr="00883F3C">
        <w:rPr>
          <w:rFonts w:ascii="Arial" w:hAnsi="Arial" w:cs="Arial"/>
        </w:rPr>
        <w:t xml:space="preserve">Eatendie Restaurant </w:t>
      </w:r>
      <w:r w:rsidR="00625833" w:rsidRPr="00883F3C">
        <w:rPr>
          <w:rFonts w:ascii="Arial" w:hAnsi="Arial" w:cs="Arial"/>
        </w:rPr>
        <w:t>is liable in the tort of ne</w:t>
      </w:r>
      <w:r w:rsidR="008A5240">
        <w:rPr>
          <w:rFonts w:ascii="Arial" w:hAnsi="Arial" w:cs="Arial"/>
        </w:rPr>
        <w:t xml:space="preserve">gligence for damages caused upon Packard and Acer. </w:t>
      </w:r>
    </w:p>
    <w:p w:rsidR="004C7C42" w:rsidRDefault="004C7C42" w:rsidP="00883F3C">
      <w:pPr>
        <w:spacing w:line="360" w:lineRule="auto"/>
        <w:rPr>
          <w:rFonts w:ascii="Arial" w:hAnsi="Arial" w:cs="Arial"/>
          <w:u w:val="single"/>
        </w:rPr>
      </w:pPr>
    </w:p>
    <w:p w:rsidR="00BE6BF0" w:rsidRPr="00883F3C" w:rsidRDefault="004C7C42" w:rsidP="00883F3C">
      <w:pPr>
        <w:spacing w:line="360" w:lineRule="auto"/>
        <w:rPr>
          <w:rFonts w:ascii="Arial" w:hAnsi="Arial" w:cs="Arial"/>
        </w:rPr>
      </w:pPr>
      <w:r>
        <w:rPr>
          <w:rFonts w:ascii="Arial" w:hAnsi="Arial" w:cs="Arial"/>
        </w:rPr>
        <w:t>F</w:t>
      </w:r>
      <w:r w:rsidR="00BE7F44" w:rsidRPr="00883F3C">
        <w:rPr>
          <w:rFonts w:ascii="Arial" w:hAnsi="Arial" w:cs="Arial"/>
        </w:rPr>
        <w:t>or a party to be liable</w:t>
      </w:r>
      <w:r>
        <w:rPr>
          <w:rFonts w:ascii="Arial" w:hAnsi="Arial" w:cs="Arial"/>
        </w:rPr>
        <w:t xml:space="preserve"> </w:t>
      </w:r>
      <w:r w:rsidR="008A5240">
        <w:rPr>
          <w:rFonts w:ascii="Arial" w:hAnsi="Arial" w:cs="Arial"/>
        </w:rPr>
        <w:t>in</w:t>
      </w:r>
      <w:r>
        <w:rPr>
          <w:rFonts w:ascii="Arial" w:hAnsi="Arial" w:cs="Arial"/>
        </w:rPr>
        <w:t xml:space="preserve"> Tort of Negligence</w:t>
      </w:r>
      <w:r w:rsidR="00BE7F44" w:rsidRPr="00883F3C">
        <w:rPr>
          <w:rFonts w:ascii="Arial" w:hAnsi="Arial" w:cs="Arial"/>
        </w:rPr>
        <w:t>, they must first be established as owing a duty of care to the aggrieved par</w:t>
      </w:r>
      <w:r w:rsidR="008A5240">
        <w:rPr>
          <w:rFonts w:ascii="Arial" w:hAnsi="Arial" w:cs="Arial"/>
        </w:rPr>
        <w:t xml:space="preserve">ty. A </w:t>
      </w:r>
      <w:r w:rsidR="005C5D70">
        <w:rPr>
          <w:rFonts w:ascii="Arial" w:hAnsi="Arial" w:cs="Arial"/>
        </w:rPr>
        <w:t xml:space="preserve">fixed </w:t>
      </w:r>
      <w:r w:rsidR="008A5240">
        <w:rPr>
          <w:rFonts w:ascii="Arial" w:hAnsi="Arial" w:cs="Arial"/>
        </w:rPr>
        <w:t xml:space="preserve">standard set of duty </w:t>
      </w:r>
      <w:r w:rsidR="005C5D70">
        <w:rPr>
          <w:rFonts w:ascii="Arial" w:hAnsi="Arial" w:cs="Arial"/>
        </w:rPr>
        <w:t>can</w:t>
      </w:r>
      <w:r w:rsidR="00BE7F44" w:rsidRPr="00883F3C">
        <w:rPr>
          <w:rFonts w:ascii="Arial" w:hAnsi="Arial" w:cs="Arial"/>
        </w:rPr>
        <w:t xml:space="preserve"> determine if they have breached their duty of care. </w:t>
      </w:r>
      <w:r>
        <w:rPr>
          <w:rFonts w:ascii="Arial" w:hAnsi="Arial" w:cs="Arial"/>
        </w:rPr>
        <w:t>It</w:t>
      </w:r>
      <w:r w:rsidR="00BE7F44" w:rsidRPr="00883F3C">
        <w:rPr>
          <w:rFonts w:ascii="Arial" w:hAnsi="Arial" w:cs="Arial"/>
        </w:rPr>
        <w:t xml:space="preserve"> must </w:t>
      </w:r>
      <w:r w:rsidR="008A5240">
        <w:rPr>
          <w:rFonts w:ascii="Arial" w:hAnsi="Arial" w:cs="Arial"/>
        </w:rPr>
        <w:t xml:space="preserve">also show </w:t>
      </w:r>
      <w:r w:rsidR="00BE7F44" w:rsidRPr="00883F3C">
        <w:rPr>
          <w:rFonts w:ascii="Arial" w:hAnsi="Arial" w:cs="Arial"/>
        </w:rPr>
        <w:t>tha</w:t>
      </w:r>
      <w:r>
        <w:rPr>
          <w:rFonts w:ascii="Arial" w:hAnsi="Arial" w:cs="Arial"/>
        </w:rPr>
        <w:t>t the aggrieved party has</w:t>
      </w:r>
      <w:r w:rsidR="00BE7F44" w:rsidRPr="00883F3C">
        <w:rPr>
          <w:rFonts w:ascii="Arial" w:hAnsi="Arial" w:cs="Arial"/>
        </w:rPr>
        <w:t xml:space="preserve"> suffered </w:t>
      </w:r>
      <w:r w:rsidR="008A5240">
        <w:rPr>
          <w:rFonts w:ascii="Arial" w:hAnsi="Arial" w:cs="Arial"/>
        </w:rPr>
        <w:t>damages</w:t>
      </w:r>
      <w:r w:rsidR="00BE7F44" w:rsidRPr="00883F3C">
        <w:rPr>
          <w:rFonts w:ascii="Arial" w:hAnsi="Arial" w:cs="Arial"/>
        </w:rPr>
        <w:t xml:space="preserve"> due to the infringing party’s breach of duty. </w:t>
      </w:r>
    </w:p>
    <w:p w:rsidR="00BE6BF0" w:rsidRPr="00883F3C" w:rsidRDefault="00BE6BF0" w:rsidP="00883F3C">
      <w:pPr>
        <w:spacing w:line="360" w:lineRule="auto"/>
        <w:rPr>
          <w:rFonts w:ascii="Arial" w:hAnsi="Arial" w:cs="Arial"/>
        </w:rPr>
      </w:pPr>
    </w:p>
    <w:p w:rsidR="00625833" w:rsidRPr="00883F3C" w:rsidRDefault="00277C06" w:rsidP="00883F3C">
      <w:pPr>
        <w:spacing w:line="360" w:lineRule="auto"/>
        <w:rPr>
          <w:rFonts w:ascii="Arial" w:hAnsi="Arial" w:cs="Arial"/>
        </w:rPr>
      </w:pPr>
      <w:r>
        <w:rPr>
          <w:rFonts w:ascii="Arial" w:hAnsi="Arial" w:cs="Arial"/>
        </w:rPr>
        <w:t xml:space="preserve">Once </w:t>
      </w:r>
      <w:r w:rsidR="00BE6BF0" w:rsidRPr="00883F3C">
        <w:rPr>
          <w:rFonts w:ascii="Arial" w:hAnsi="Arial" w:cs="Arial"/>
        </w:rPr>
        <w:t>established that a duty of c</w:t>
      </w:r>
      <w:r>
        <w:rPr>
          <w:rFonts w:ascii="Arial" w:hAnsi="Arial" w:cs="Arial"/>
        </w:rPr>
        <w:t>are is owed, the</w:t>
      </w:r>
      <w:r w:rsidR="004C7C42">
        <w:rPr>
          <w:rFonts w:ascii="Arial" w:hAnsi="Arial" w:cs="Arial"/>
        </w:rPr>
        <w:t xml:space="preserve"> party m</w:t>
      </w:r>
      <w:r w:rsidR="00BE6BF0" w:rsidRPr="00883F3C">
        <w:rPr>
          <w:rFonts w:ascii="Arial" w:hAnsi="Arial" w:cs="Arial"/>
        </w:rPr>
        <w:t>ust act reas</w:t>
      </w:r>
      <w:r w:rsidR="004C7C42">
        <w:rPr>
          <w:rFonts w:ascii="Arial" w:hAnsi="Arial" w:cs="Arial"/>
        </w:rPr>
        <w:t>onably to avoid any harm to any</w:t>
      </w:r>
      <w:r>
        <w:rPr>
          <w:rFonts w:ascii="Arial" w:hAnsi="Arial" w:cs="Arial"/>
        </w:rPr>
        <w:t>one that they</w:t>
      </w:r>
      <w:r w:rsidR="00BE6BF0" w:rsidRPr="00883F3C">
        <w:rPr>
          <w:rFonts w:ascii="Arial" w:hAnsi="Arial" w:cs="Arial"/>
        </w:rPr>
        <w:t xml:space="preserve"> can rea</w:t>
      </w:r>
      <w:r w:rsidR="00960448" w:rsidRPr="00883F3C">
        <w:rPr>
          <w:rFonts w:ascii="Arial" w:hAnsi="Arial" w:cs="Arial"/>
        </w:rPr>
        <w:t>sonably foresee will be affecte</w:t>
      </w:r>
      <w:r w:rsidR="00BE6BF0" w:rsidRPr="00883F3C">
        <w:rPr>
          <w:rFonts w:ascii="Arial" w:hAnsi="Arial" w:cs="Arial"/>
        </w:rPr>
        <w:t>d by its acts or</w:t>
      </w:r>
      <w:r w:rsidR="00960448" w:rsidRPr="00883F3C">
        <w:rPr>
          <w:rFonts w:ascii="Arial" w:hAnsi="Arial" w:cs="Arial"/>
        </w:rPr>
        <w:t xml:space="preserve"> </w:t>
      </w:r>
      <w:r w:rsidR="00BE6BF0" w:rsidRPr="00883F3C">
        <w:rPr>
          <w:rFonts w:ascii="Arial" w:hAnsi="Arial" w:cs="Arial"/>
        </w:rPr>
        <w:t>omissions</w:t>
      </w:r>
      <w:r w:rsidR="00960448" w:rsidRPr="00883F3C">
        <w:rPr>
          <w:rFonts w:ascii="Arial" w:hAnsi="Arial" w:cs="Arial"/>
        </w:rPr>
        <w:t>.</w:t>
      </w:r>
      <w:r w:rsidR="004C7C42">
        <w:rPr>
          <w:rFonts w:ascii="Arial" w:hAnsi="Arial" w:cs="Arial"/>
        </w:rPr>
        <w:t xml:space="preserve"> </w:t>
      </w:r>
      <w:r w:rsidR="00960448" w:rsidRPr="00883F3C">
        <w:rPr>
          <w:rFonts w:ascii="Arial" w:hAnsi="Arial" w:cs="Arial"/>
        </w:rPr>
        <w:t xml:space="preserve">In the case of </w:t>
      </w:r>
      <w:r w:rsidR="00960448" w:rsidRPr="004C7C42">
        <w:rPr>
          <w:rFonts w:ascii="Arial" w:hAnsi="Arial" w:cs="Arial"/>
          <w:u w:val="single"/>
        </w:rPr>
        <w:t>Anns V Merton LBC (1978)</w:t>
      </w:r>
      <w:r>
        <w:rPr>
          <w:rFonts w:ascii="Arial" w:hAnsi="Arial" w:cs="Arial"/>
          <w:u w:val="single"/>
        </w:rPr>
        <w:t>,</w:t>
      </w:r>
      <w:r>
        <w:rPr>
          <w:rFonts w:ascii="Arial" w:hAnsi="Arial" w:cs="Arial"/>
        </w:rPr>
        <w:t xml:space="preserve"> </w:t>
      </w:r>
      <w:r w:rsidR="00960448" w:rsidRPr="00883F3C">
        <w:rPr>
          <w:rFonts w:ascii="Arial" w:hAnsi="Arial" w:cs="Arial"/>
        </w:rPr>
        <w:t>Lord Wilberforce stated that in order for an action to be considered r</w:t>
      </w:r>
      <w:r w:rsidR="004C7C42">
        <w:rPr>
          <w:rFonts w:ascii="Arial" w:hAnsi="Arial" w:cs="Arial"/>
        </w:rPr>
        <w:t>easonbly foreseeable, it must prove that</w:t>
      </w:r>
      <w:r w:rsidR="00960448" w:rsidRPr="00883F3C">
        <w:rPr>
          <w:rFonts w:ascii="Arial" w:hAnsi="Arial" w:cs="Arial"/>
        </w:rPr>
        <w:t xml:space="preserve"> either the damage or injury is foreseeable, there is a proximate relationship between parties or it is just and reasonable to impose duty.</w:t>
      </w:r>
    </w:p>
    <w:p w:rsidR="00960448" w:rsidRPr="00883F3C" w:rsidRDefault="00960448" w:rsidP="00883F3C">
      <w:pPr>
        <w:spacing w:line="360" w:lineRule="auto"/>
        <w:rPr>
          <w:rFonts w:ascii="Arial" w:hAnsi="Arial" w:cs="Arial"/>
        </w:rPr>
      </w:pPr>
    </w:p>
    <w:p w:rsidR="00C40E94" w:rsidRPr="00883F3C" w:rsidRDefault="00277C06" w:rsidP="00883F3C">
      <w:pPr>
        <w:spacing w:line="360" w:lineRule="auto"/>
        <w:rPr>
          <w:rFonts w:ascii="Arial" w:hAnsi="Arial" w:cs="Arial"/>
        </w:rPr>
      </w:pPr>
      <w:r>
        <w:rPr>
          <w:rFonts w:ascii="Arial" w:hAnsi="Arial" w:cs="Arial"/>
        </w:rPr>
        <w:t>Whether Eatndie Restaurant owes</w:t>
      </w:r>
      <w:r w:rsidR="00AB2DB1" w:rsidRPr="00883F3C">
        <w:rPr>
          <w:rFonts w:ascii="Arial" w:hAnsi="Arial" w:cs="Arial"/>
        </w:rPr>
        <w:t xml:space="preserve"> Packard a duty of care depends on the</w:t>
      </w:r>
      <w:r w:rsidR="005C5D70">
        <w:rPr>
          <w:rFonts w:ascii="Arial" w:hAnsi="Arial" w:cs="Arial"/>
        </w:rPr>
        <w:t>ir</w:t>
      </w:r>
      <w:r w:rsidR="00AB2DB1" w:rsidRPr="00883F3C">
        <w:rPr>
          <w:rFonts w:ascii="Arial" w:hAnsi="Arial" w:cs="Arial"/>
        </w:rPr>
        <w:t xml:space="preserve"> relationship. </w:t>
      </w:r>
      <w:r w:rsidR="00C40E94" w:rsidRPr="00883F3C">
        <w:rPr>
          <w:rFonts w:ascii="Arial" w:hAnsi="Arial" w:cs="Arial"/>
        </w:rPr>
        <w:t xml:space="preserve">Eatndie Restaurants owe a standard duty of care to all its </w:t>
      </w:r>
      <w:r w:rsidR="005C5D70" w:rsidRPr="00883F3C">
        <w:rPr>
          <w:rFonts w:ascii="Arial" w:hAnsi="Arial" w:cs="Arial"/>
        </w:rPr>
        <w:t>patrons, which</w:t>
      </w:r>
      <w:r w:rsidR="005C5D70">
        <w:rPr>
          <w:rFonts w:ascii="Arial" w:hAnsi="Arial" w:cs="Arial"/>
        </w:rPr>
        <w:t xml:space="preserve"> can be established</w:t>
      </w:r>
      <w:r w:rsidR="00C40E94" w:rsidRPr="00883F3C">
        <w:rPr>
          <w:rFonts w:ascii="Arial" w:hAnsi="Arial" w:cs="Arial"/>
        </w:rPr>
        <w:t xml:space="preserve"> in the N</w:t>
      </w:r>
      <w:r>
        <w:rPr>
          <w:rFonts w:ascii="Arial" w:hAnsi="Arial" w:cs="Arial"/>
        </w:rPr>
        <w:t>eighbour Principle identified in</w:t>
      </w:r>
      <w:r w:rsidR="00C40E94" w:rsidRPr="00883F3C">
        <w:rPr>
          <w:rFonts w:ascii="Arial" w:hAnsi="Arial" w:cs="Arial"/>
        </w:rPr>
        <w:t xml:space="preserve"> </w:t>
      </w:r>
      <w:r w:rsidR="00C40E94" w:rsidRPr="00883F3C">
        <w:rPr>
          <w:rFonts w:ascii="Arial" w:hAnsi="Arial" w:cs="Arial"/>
          <w:u w:val="single"/>
        </w:rPr>
        <w:t>Donoghue V Stevenson (1932)</w:t>
      </w:r>
      <w:r>
        <w:rPr>
          <w:rFonts w:ascii="Arial" w:hAnsi="Arial" w:cs="Arial"/>
        </w:rPr>
        <w:t xml:space="preserve"> whereby</w:t>
      </w:r>
      <w:r w:rsidR="00C40E94" w:rsidRPr="00883F3C">
        <w:rPr>
          <w:rFonts w:ascii="Arial" w:hAnsi="Arial" w:cs="Arial"/>
        </w:rPr>
        <w:t xml:space="preserve"> patrons are directly and closely affected by the acts of Eatndie Restaurant.</w:t>
      </w:r>
    </w:p>
    <w:p w:rsidR="00C40E94" w:rsidRPr="00883F3C" w:rsidRDefault="00C40E94" w:rsidP="00883F3C">
      <w:pPr>
        <w:spacing w:line="360" w:lineRule="auto"/>
        <w:rPr>
          <w:rFonts w:ascii="Arial" w:hAnsi="Arial" w:cs="Arial"/>
        </w:rPr>
      </w:pPr>
    </w:p>
    <w:p w:rsidR="00960448" w:rsidRPr="00883F3C" w:rsidRDefault="00836F3C" w:rsidP="00883F3C">
      <w:pPr>
        <w:spacing w:line="360" w:lineRule="auto"/>
        <w:rPr>
          <w:rFonts w:ascii="Arial" w:hAnsi="Arial" w:cs="Arial"/>
        </w:rPr>
      </w:pPr>
      <w:r w:rsidRPr="00883F3C">
        <w:rPr>
          <w:rFonts w:ascii="Arial" w:hAnsi="Arial" w:cs="Arial"/>
        </w:rPr>
        <w:t xml:space="preserve">Eatndie Restaurant has failed to act with duty of care towards Packard. </w:t>
      </w:r>
      <w:r w:rsidR="00AB2DB1" w:rsidRPr="00883F3C">
        <w:rPr>
          <w:rFonts w:ascii="Arial" w:hAnsi="Arial" w:cs="Arial"/>
        </w:rPr>
        <w:t>It</w:t>
      </w:r>
      <w:r w:rsidRPr="00883F3C">
        <w:rPr>
          <w:rFonts w:ascii="Arial" w:hAnsi="Arial" w:cs="Arial"/>
        </w:rPr>
        <w:t xml:space="preserve"> is a standard duty</w:t>
      </w:r>
      <w:r w:rsidR="00C40E94" w:rsidRPr="00883F3C">
        <w:rPr>
          <w:rFonts w:ascii="Arial" w:hAnsi="Arial" w:cs="Arial"/>
        </w:rPr>
        <w:t xml:space="preserve"> of an F&amp;B outlet</w:t>
      </w:r>
      <w:r w:rsidRPr="00883F3C">
        <w:rPr>
          <w:rFonts w:ascii="Arial" w:hAnsi="Arial" w:cs="Arial"/>
        </w:rPr>
        <w:t xml:space="preserve"> to follow necessary hygiene guidelines to ensure a clean environment in preparing food for customers.</w:t>
      </w:r>
      <w:r w:rsidR="00C40E94" w:rsidRPr="00883F3C">
        <w:rPr>
          <w:rFonts w:ascii="Arial" w:hAnsi="Arial" w:cs="Arial"/>
        </w:rPr>
        <w:t xml:space="preserve"> </w:t>
      </w:r>
      <w:r w:rsidRPr="00883F3C">
        <w:rPr>
          <w:rFonts w:ascii="Arial" w:hAnsi="Arial" w:cs="Arial"/>
        </w:rPr>
        <w:t xml:space="preserve">They have committeed negligence when the lizard </w:t>
      </w:r>
      <w:r w:rsidR="00277C06">
        <w:rPr>
          <w:rFonts w:ascii="Arial" w:hAnsi="Arial" w:cs="Arial"/>
        </w:rPr>
        <w:t xml:space="preserve">was found in Packard’s burger and </w:t>
      </w:r>
      <w:r w:rsidRPr="00883F3C">
        <w:rPr>
          <w:rFonts w:ascii="Arial" w:hAnsi="Arial" w:cs="Arial"/>
        </w:rPr>
        <w:t xml:space="preserve">have failed in abiding by standard operating procedures </w:t>
      </w:r>
      <w:r w:rsidR="00277C06">
        <w:rPr>
          <w:rFonts w:ascii="Arial" w:hAnsi="Arial" w:cs="Arial"/>
        </w:rPr>
        <w:t>as</w:t>
      </w:r>
      <w:r w:rsidRPr="00883F3C">
        <w:rPr>
          <w:rFonts w:ascii="Arial" w:hAnsi="Arial" w:cs="Arial"/>
        </w:rPr>
        <w:t xml:space="preserve"> the lizard incident coul</w:t>
      </w:r>
      <w:r w:rsidR="00C40E94" w:rsidRPr="00883F3C">
        <w:rPr>
          <w:rFonts w:ascii="Arial" w:hAnsi="Arial" w:cs="Arial"/>
        </w:rPr>
        <w:t>d have been avoided if they had</w:t>
      </w:r>
      <w:r w:rsidRPr="00883F3C">
        <w:rPr>
          <w:rFonts w:ascii="Arial" w:hAnsi="Arial" w:cs="Arial"/>
        </w:rPr>
        <w:t xml:space="preserve"> take</w:t>
      </w:r>
      <w:r w:rsidR="00277C06">
        <w:rPr>
          <w:rFonts w:ascii="Arial" w:hAnsi="Arial" w:cs="Arial"/>
        </w:rPr>
        <w:t>n</w:t>
      </w:r>
      <w:r w:rsidRPr="00883F3C">
        <w:rPr>
          <w:rFonts w:ascii="Arial" w:hAnsi="Arial" w:cs="Arial"/>
        </w:rPr>
        <w:t xml:space="preserve"> necessary </w:t>
      </w:r>
      <w:r w:rsidR="00D7545B">
        <w:rPr>
          <w:rFonts w:ascii="Arial" w:hAnsi="Arial" w:cs="Arial"/>
        </w:rPr>
        <w:t xml:space="preserve">precaution. </w:t>
      </w:r>
      <w:r w:rsidR="00277C06">
        <w:rPr>
          <w:rFonts w:ascii="Arial" w:hAnsi="Arial" w:cs="Arial"/>
        </w:rPr>
        <w:t xml:space="preserve"> </w:t>
      </w:r>
      <w:r w:rsidRPr="00883F3C">
        <w:rPr>
          <w:rFonts w:ascii="Arial" w:hAnsi="Arial" w:cs="Arial"/>
        </w:rPr>
        <w:t xml:space="preserve"> </w:t>
      </w:r>
    </w:p>
    <w:p w:rsidR="00960448" w:rsidRPr="00883F3C" w:rsidRDefault="00960448" w:rsidP="00883F3C">
      <w:pPr>
        <w:spacing w:line="360" w:lineRule="auto"/>
        <w:rPr>
          <w:rFonts w:ascii="Arial" w:hAnsi="Arial" w:cs="Arial"/>
        </w:rPr>
      </w:pPr>
    </w:p>
    <w:p w:rsidR="00960448" w:rsidRPr="00883F3C" w:rsidRDefault="00836F3C" w:rsidP="00883F3C">
      <w:pPr>
        <w:spacing w:line="360" w:lineRule="auto"/>
        <w:rPr>
          <w:rFonts w:ascii="Arial" w:hAnsi="Arial" w:cs="Arial"/>
        </w:rPr>
      </w:pPr>
      <w:r w:rsidRPr="00883F3C">
        <w:rPr>
          <w:rFonts w:ascii="Arial" w:hAnsi="Arial" w:cs="Arial"/>
        </w:rPr>
        <w:t xml:space="preserve">In </w:t>
      </w:r>
      <w:r w:rsidR="00074ED8" w:rsidRPr="00883F3C">
        <w:rPr>
          <w:rFonts w:ascii="Arial" w:hAnsi="Arial" w:cs="Arial"/>
        </w:rPr>
        <w:t xml:space="preserve">negligence, </w:t>
      </w:r>
      <w:r w:rsidRPr="00883F3C">
        <w:rPr>
          <w:rFonts w:ascii="Arial" w:hAnsi="Arial" w:cs="Arial"/>
        </w:rPr>
        <w:t xml:space="preserve">Packard seeks to </w:t>
      </w:r>
      <w:r w:rsidR="00074ED8" w:rsidRPr="00883F3C">
        <w:rPr>
          <w:rFonts w:ascii="Arial" w:hAnsi="Arial" w:cs="Arial"/>
        </w:rPr>
        <w:t>establish that the failure</w:t>
      </w:r>
      <w:r w:rsidRPr="00883F3C">
        <w:rPr>
          <w:rFonts w:ascii="Arial" w:hAnsi="Arial" w:cs="Arial"/>
        </w:rPr>
        <w:t xml:space="preserve"> and omission of Eatndie Restaurants’</w:t>
      </w:r>
      <w:r w:rsidR="00074ED8" w:rsidRPr="00883F3C">
        <w:rPr>
          <w:rFonts w:ascii="Arial" w:hAnsi="Arial" w:cs="Arial"/>
        </w:rPr>
        <w:t xml:space="preserve"> acts </w:t>
      </w:r>
      <w:r w:rsidR="00FF2878" w:rsidRPr="00883F3C">
        <w:rPr>
          <w:rFonts w:ascii="Arial" w:hAnsi="Arial" w:cs="Arial"/>
        </w:rPr>
        <w:t xml:space="preserve">was the proximate cause of his injury. </w:t>
      </w:r>
      <w:r w:rsidR="00277C06">
        <w:rPr>
          <w:rFonts w:ascii="Arial" w:hAnsi="Arial" w:cs="Arial"/>
        </w:rPr>
        <w:t xml:space="preserve">Packard </w:t>
      </w:r>
      <w:r w:rsidRPr="00883F3C">
        <w:rPr>
          <w:rFonts w:ascii="Arial" w:hAnsi="Arial" w:cs="Arial"/>
        </w:rPr>
        <w:t>suffer</w:t>
      </w:r>
      <w:r w:rsidR="00277C06">
        <w:rPr>
          <w:rFonts w:ascii="Arial" w:hAnsi="Arial" w:cs="Arial"/>
        </w:rPr>
        <w:t>ed</w:t>
      </w:r>
      <w:r w:rsidRPr="00883F3C">
        <w:rPr>
          <w:rFonts w:ascii="Arial" w:hAnsi="Arial" w:cs="Arial"/>
        </w:rPr>
        <w:t xml:space="preserve"> damages that are forseeable and not too remote after consuming a burger containing a lizard. </w:t>
      </w:r>
      <w:r w:rsidR="00C40E94" w:rsidRPr="00883F3C">
        <w:rPr>
          <w:rFonts w:ascii="Arial" w:hAnsi="Arial" w:cs="Arial"/>
        </w:rPr>
        <w:t>H</w:t>
      </w:r>
      <w:r w:rsidR="00AB2DB1" w:rsidRPr="00883F3C">
        <w:rPr>
          <w:rFonts w:ascii="Arial" w:hAnsi="Arial" w:cs="Arial"/>
        </w:rPr>
        <w:t xml:space="preserve">e felt nauseas and vomitted, thus </w:t>
      </w:r>
      <w:r w:rsidR="00C40E94" w:rsidRPr="00883F3C">
        <w:rPr>
          <w:rFonts w:ascii="Arial" w:hAnsi="Arial" w:cs="Arial"/>
        </w:rPr>
        <w:t>had to be admitte</w:t>
      </w:r>
      <w:r w:rsidR="00AB2DB1" w:rsidRPr="00883F3C">
        <w:rPr>
          <w:rFonts w:ascii="Arial" w:hAnsi="Arial" w:cs="Arial"/>
        </w:rPr>
        <w:t>d t</w:t>
      </w:r>
      <w:r w:rsidR="00277C06">
        <w:rPr>
          <w:rFonts w:ascii="Arial" w:hAnsi="Arial" w:cs="Arial"/>
        </w:rPr>
        <w:t>o hospital</w:t>
      </w:r>
      <w:r w:rsidR="00AB2DB1" w:rsidRPr="00883F3C">
        <w:rPr>
          <w:rFonts w:ascii="Arial" w:hAnsi="Arial" w:cs="Arial"/>
        </w:rPr>
        <w:t xml:space="preserve">. Emotional damages were further incurred when Packard suffered from </w:t>
      </w:r>
      <w:r w:rsidR="00277C06">
        <w:rPr>
          <w:rFonts w:ascii="Arial" w:hAnsi="Arial" w:cs="Arial"/>
        </w:rPr>
        <w:t>psychological</w:t>
      </w:r>
      <w:r w:rsidR="00AB2DB1" w:rsidRPr="00883F3C">
        <w:rPr>
          <w:rFonts w:ascii="Arial" w:hAnsi="Arial" w:cs="Arial"/>
        </w:rPr>
        <w:t xml:space="preserve"> trauma </w:t>
      </w:r>
      <w:r w:rsidR="00677B88">
        <w:rPr>
          <w:rFonts w:ascii="Arial" w:hAnsi="Arial" w:cs="Arial"/>
        </w:rPr>
        <w:t xml:space="preserve">and </w:t>
      </w:r>
      <w:r w:rsidR="00AB2DB1" w:rsidRPr="00883F3C">
        <w:rPr>
          <w:rFonts w:ascii="Arial" w:hAnsi="Arial" w:cs="Arial"/>
        </w:rPr>
        <w:t xml:space="preserve">had to attend regular psychiatric evaluation as everytime he sees a burger, he gets reminded of the lizard which induces vomitting. </w:t>
      </w:r>
    </w:p>
    <w:p w:rsidR="00960448" w:rsidRPr="00883F3C" w:rsidRDefault="00960448" w:rsidP="00883F3C">
      <w:pPr>
        <w:spacing w:line="360" w:lineRule="auto"/>
        <w:rPr>
          <w:rFonts w:ascii="Arial" w:hAnsi="Arial" w:cs="Arial"/>
        </w:rPr>
      </w:pPr>
    </w:p>
    <w:p w:rsidR="00FF2878" w:rsidRPr="00883F3C" w:rsidRDefault="00D7545B" w:rsidP="00883F3C">
      <w:pPr>
        <w:spacing w:line="360" w:lineRule="auto"/>
        <w:rPr>
          <w:rFonts w:ascii="Arial" w:hAnsi="Arial" w:cs="Arial"/>
        </w:rPr>
      </w:pPr>
      <w:r>
        <w:rPr>
          <w:rFonts w:ascii="Arial" w:hAnsi="Arial" w:cs="Arial"/>
        </w:rPr>
        <w:t>The four</w:t>
      </w:r>
      <w:r w:rsidR="00FF2878" w:rsidRPr="00883F3C">
        <w:rPr>
          <w:rFonts w:ascii="Arial" w:hAnsi="Arial" w:cs="Arial"/>
        </w:rPr>
        <w:t xml:space="preserve"> essential points have been highlighted as Eatndie Restaurant did owe a duty of care to Packard and as a result of them not taking precauti</w:t>
      </w:r>
      <w:r w:rsidR="001C26B4" w:rsidRPr="00883F3C">
        <w:rPr>
          <w:rFonts w:ascii="Arial" w:hAnsi="Arial" w:cs="Arial"/>
        </w:rPr>
        <w:t>on and a bre</w:t>
      </w:r>
      <w:r w:rsidR="00D025F8" w:rsidRPr="00883F3C">
        <w:rPr>
          <w:rFonts w:ascii="Arial" w:hAnsi="Arial" w:cs="Arial"/>
        </w:rPr>
        <w:t>ach of duty of care,</w:t>
      </w:r>
      <w:r w:rsidR="00FF2878" w:rsidRPr="00883F3C">
        <w:rPr>
          <w:rFonts w:ascii="Arial" w:hAnsi="Arial" w:cs="Arial"/>
        </w:rPr>
        <w:t xml:space="preserve"> Packard suffered damages. </w:t>
      </w:r>
      <w:r w:rsidR="00B97408" w:rsidRPr="00883F3C">
        <w:rPr>
          <w:rFonts w:ascii="Arial" w:hAnsi="Arial" w:cs="Arial"/>
          <w:i/>
        </w:rPr>
        <w:t>Res ipsa loquitur</w:t>
      </w:r>
      <w:r w:rsidR="00B97408" w:rsidRPr="00883F3C">
        <w:rPr>
          <w:rFonts w:ascii="Arial" w:hAnsi="Arial" w:cs="Arial"/>
        </w:rPr>
        <w:t xml:space="preserve"> also explains </w:t>
      </w:r>
      <w:r w:rsidR="00D025F8" w:rsidRPr="00883F3C">
        <w:rPr>
          <w:rFonts w:ascii="Arial" w:hAnsi="Arial" w:cs="Arial"/>
        </w:rPr>
        <w:t xml:space="preserve">obvious reasons </w:t>
      </w:r>
      <w:r w:rsidR="00B97408" w:rsidRPr="00883F3C">
        <w:rPr>
          <w:rFonts w:ascii="Arial" w:hAnsi="Arial" w:cs="Arial"/>
        </w:rPr>
        <w:t xml:space="preserve">that Eatndie Restaurant acted negligently as the lizard incident could have been prevented under their control had they taken necessary precautions. </w:t>
      </w:r>
      <w:r w:rsidR="00D025F8" w:rsidRPr="00883F3C">
        <w:rPr>
          <w:rFonts w:ascii="Arial" w:hAnsi="Arial" w:cs="Arial"/>
        </w:rPr>
        <w:t>It was an unexpected and unintended careless act on the restaurant’s part and Packard’s behaviour did not contribute to the incident. Therefore,</w:t>
      </w:r>
      <w:r>
        <w:rPr>
          <w:rFonts w:ascii="Arial" w:hAnsi="Arial" w:cs="Arial"/>
        </w:rPr>
        <w:t xml:space="preserve"> Packard can sue in negligence. </w:t>
      </w:r>
      <w:r w:rsidR="00FF2878" w:rsidRPr="00883F3C">
        <w:rPr>
          <w:rFonts w:ascii="Arial" w:hAnsi="Arial" w:cs="Arial"/>
        </w:rPr>
        <w:t xml:space="preserve"> </w:t>
      </w:r>
    </w:p>
    <w:p w:rsidR="00FF2878" w:rsidRPr="00883F3C" w:rsidRDefault="00FF2878" w:rsidP="00883F3C">
      <w:pPr>
        <w:spacing w:line="360" w:lineRule="auto"/>
        <w:rPr>
          <w:rFonts w:ascii="Arial" w:hAnsi="Arial" w:cs="Arial"/>
        </w:rPr>
      </w:pPr>
    </w:p>
    <w:p w:rsidR="0085377F" w:rsidRPr="00883F3C" w:rsidRDefault="001C26B4" w:rsidP="00883F3C">
      <w:pPr>
        <w:spacing w:line="360" w:lineRule="auto"/>
        <w:rPr>
          <w:rFonts w:ascii="Arial" w:hAnsi="Arial" w:cs="Arial"/>
        </w:rPr>
      </w:pPr>
      <w:r w:rsidRPr="00883F3C">
        <w:rPr>
          <w:rFonts w:ascii="Arial" w:hAnsi="Arial" w:cs="Arial"/>
        </w:rPr>
        <w:t>In</w:t>
      </w:r>
      <w:r w:rsidR="0076371C" w:rsidRPr="00883F3C">
        <w:rPr>
          <w:rFonts w:ascii="Arial" w:hAnsi="Arial" w:cs="Arial"/>
        </w:rPr>
        <w:t xml:space="preserve"> Acer’s case, even though Eatndie Restaurant owed a standard duty of care to Acer in the form of an F&amp;B outlet and patron relationship, the damage suffered by Acer was directly caused by Packard and not through Eatndie Restaurant’s negligence. It was out of goodwill that prompted Acer to render help to Packard. </w:t>
      </w:r>
    </w:p>
    <w:p w:rsidR="0076371C" w:rsidRPr="00883F3C" w:rsidRDefault="0076371C" w:rsidP="00883F3C">
      <w:pPr>
        <w:spacing w:line="360" w:lineRule="auto"/>
        <w:rPr>
          <w:rFonts w:ascii="Arial" w:hAnsi="Arial" w:cs="Arial"/>
        </w:rPr>
      </w:pPr>
    </w:p>
    <w:p w:rsidR="0017789F" w:rsidRPr="00883F3C" w:rsidRDefault="0076371C" w:rsidP="00883F3C">
      <w:pPr>
        <w:spacing w:line="360" w:lineRule="auto"/>
        <w:rPr>
          <w:rFonts w:ascii="Arial" w:hAnsi="Arial" w:cs="Arial"/>
        </w:rPr>
      </w:pPr>
      <w:r w:rsidRPr="00883F3C">
        <w:rPr>
          <w:rFonts w:ascii="Arial" w:hAnsi="Arial" w:cs="Arial"/>
        </w:rPr>
        <w:t>Proximity is the</w:t>
      </w:r>
      <w:r w:rsidR="001C26B4" w:rsidRPr="00883F3C">
        <w:rPr>
          <w:rFonts w:ascii="Arial" w:hAnsi="Arial" w:cs="Arial"/>
        </w:rPr>
        <w:t xml:space="preserve"> link </w:t>
      </w:r>
      <w:r w:rsidRPr="00883F3C">
        <w:rPr>
          <w:rFonts w:ascii="Arial" w:hAnsi="Arial" w:cs="Arial"/>
        </w:rPr>
        <w:t>be</w:t>
      </w:r>
      <w:r w:rsidR="001C26B4" w:rsidRPr="00883F3C">
        <w:rPr>
          <w:rFonts w:ascii="Arial" w:hAnsi="Arial" w:cs="Arial"/>
        </w:rPr>
        <w:t>tween the relationship of the pa</w:t>
      </w:r>
      <w:r w:rsidRPr="00883F3C">
        <w:rPr>
          <w:rFonts w:ascii="Arial" w:hAnsi="Arial" w:cs="Arial"/>
        </w:rPr>
        <w:t>r</w:t>
      </w:r>
      <w:r w:rsidR="001C26B4" w:rsidRPr="00883F3C">
        <w:rPr>
          <w:rFonts w:ascii="Arial" w:hAnsi="Arial" w:cs="Arial"/>
        </w:rPr>
        <w:t>ty that owes a</w:t>
      </w:r>
      <w:r w:rsidRPr="00883F3C">
        <w:rPr>
          <w:rFonts w:ascii="Arial" w:hAnsi="Arial" w:cs="Arial"/>
        </w:rPr>
        <w:t xml:space="preserve"> duty of care and whom the duty of care is owed. </w:t>
      </w:r>
      <w:r w:rsidR="001C26B4" w:rsidRPr="00883F3C">
        <w:rPr>
          <w:rFonts w:ascii="Arial" w:hAnsi="Arial" w:cs="Arial"/>
        </w:rPr>
        <w:t xml:space="preserve">Despite establishing the fact that Eatndie Restaurant does owe a duty of care to Acer, the restaurant only breached it’s duty of care towards Packard and not Acer as the lizard was found in Packard’s burger. </w:t>
      </w:r>
    </w:p>
    <w:p w:rsidR="0017789F" w:rsidRPr="00883F3C" w:rsidRDefault="0017789F" w:rsidP="00883F3C">
      <w:pPr>
        <w:spacing w:line="360" w:lineRule="auto"/>
        <w:rPr>
          <w:rFonts w:ascii="Arial" w:hAnsi="Arial" w:cs="Arial"/>
        </w:rPr>
      </w:pPr>
    </w:p>
    <w:p w:rsidR="0076371C" w:rsidRPr="00883F3C" w:rsidRDefault="001C26B4" w:rsidP="00883F3C">
      <w:pPr>
        <w:spacing w:line="360" w:lineRule="auto"/>
        <w:rPr>
          <w:rFonts w:ascii="Arial" w:hAnsi="Arial" w:cs="Arial"/>
        </w:rPr>
      </w:pPr>
      <w:r w:rsidRPr="00883F3C">
        <w:rPr>
          <w:rFonts w:ascii="Arial" w:hAnsi="Arial" w:cs="Arial"/>
        </w:rPr>
        <w:t>In order for Acer to sue, he needs to prove that Eatndie’s negligence was the proximate cause of his inju</w:t>
      </w:r>
      <w:r w:rsidR="00D7545B">
        <w:rPr>
          <w:rFonts w:ascii="Arial" w:hAnsi="Arial" w:cs="Arial"/>
        </w:rPr>
        <w:t>ry</w:t>
      </w:r>
      <w:r w:rsidR="0017789F" w:rsidRPr="00883F3C">
        <w:rPr>
          <w:rFonts w:ascii="Arial" w:hAnsi="Arial" w:cs="Arial"/>
        </w:rPr>
        <w:t xml:space="preserve">. </w:t>
      </w:r>
      <w:r w:rsidR="0076371C" w:rsidRPr="00883F3C">
        <w:rPr>
          <w:rFonts w:ascii="Arial" w:hAnsi="Arial" w:cs="Arial"/>
        </w:rPr>
        <w:t>Injuries</w:t>
      </w:r>
      <w:r w:rsidRPr="00883F3C">
        <w:rPr>
          <w:rFonts w:ascii="Arial" w:hAnsi="Arial" w:cs="Arial"/>
        </w:rPr>
        <w:t xml:space="preserve"> suffered by Acer</w:t>
      </w:r>
      <w:r w:rsidR="0017789F" w:rsidRPr="00883F3C">
        <w:rPr>
          <w:rFonts w:ascii="Arial" w:hAnsi="Arial" w:cs="Arial"/>
        </w:rPr>
        <w:t xml:space="preserve"> are too r</w:t>
      </w:r>
      <w:r w:rsidR="0076371C" w:rsidRPr="00883F3C">
        <w:rPr>
          <w:rFonts w:ascii="Arial" w:hAnsi="Arial" w:cs="Arial"/>
        </w:rPr>
        <w:t>emote</w:t>
      </w:r>
      <w:r w:rsidR="00B97408" w:rsidRPr="00883F3C">
        <w:rPr>
          <w:rFonts w:ascii="Arial" w:hAnsi="Arial" w:cs="Arial"/>
        </w:rPr>
        <w:t xml:space="preserve"> as nobody could forsee that Acer would slip and fall on vomit. Thus, </w:t>
      </w:r>
      <w:r w:rsidR="0017789F" w:rsidRPr="00883F3C">
        <w:rPr>
          <w:rFonts w:ascii="Arial" w:hAnsi="Arial" w:cs="Arial"/>
        </w:rPr>
        <w:t>Eatndie Restaurant cannot be held liable for incidents</w:t>
      </w:r>
      <w:r w:rsidR="0076371C" w:rsidRPr="00883F3C">
        <w:rPr>
          <w:rFonts w:ascii="Arial" w:hAnsi="Arial" w:cs="Arial"/>
        </w:rPr>
        <w:t xml:space="preserve"> </w:t>
      </w:r>
      <w:r w:rsidRPr="00883F3C">
        <w:rPr>
          <w:rFonts w:ascii="Arial" w:hAnsi="Arial" w:cs="Arial"/>
        </w:rPr>
        <w:t>that are unpredictable and do not have a reasonably forseeable</w:t>
      </w:r>
      <w:r w:rsidR="0076371C" w:rsidRPr="00883F3C">
        <w:rPr>
          <w:rFonts w:ascii="Arial" w:hAnsi="Arial" w:cs="Arial"/>
        </w:rPr>
        <w:t xml:space="preserve"> link to their actions.</w:t>
      </w:r>
      <w:r w:rsidR="0017789F" w:rsidRPr="00883F3C">
        <w:rPr>
          <w:rFonts w:ascii="Arial" w:hAnsi="Arial" w:cs="Arial"/>
        </w:rPr>
        <w:t xml:space="preserve"> </w:t>
      </w:r>
    </w:p>
    <w:p w:rsidR="0076371C" w:rsidRPr="00883F3C" w:rsidRDefault="0076371C" w:rsidP="00883F3C">
      <w:pPr>
        <w:spacing w:line="360" w:lineRule="auto"/>
        <w:rPr>
          <w:rFonts w:ascii="Arial" w:hAnsi="Arial" w:cs="Arial"/>
        </w:rPr>
      </w:pPr>
    </w:p>
    <w:p w:rsidR="0085377F" w:rsidRPr="00883F3C" w:rsidRDefault="0017789F" w:rsidP="00883F3C">
      <w:pPr>
        <w:spacing w:line="360" w:lineRule="auto"/>
        <w:rPr>
          <w:rFonts w:ascii="Arial" w:hAnsi="Arial" w:cs="Arial"/>
        </w:rPr>
      </w:pPr>
      <w:r w:rsidRPr="00883F3C">
        <w:rPr>
          <w:rFonts w:ascii="Arial" w:hAnsi="Arial" w:cs="Arial"/>
        </w:rPr>
        <w:t xml:space="preserve">However, </w:t>
      </w:r>
      <w:r w:rsidR="00E2375B" w:rsidRPr="00883F3C">
        <w:rPr>
          <w:rFonts w:ascii="Arial" w:hAnsi="Arial" w:cs="Arial"/>
        </w:rPr>
        <w:t xml:space="preserve">Acer can claim that it was </w:t>
      </w:r>
      <w:r w:rsidR="00DE716F" w:rsidRPr="00883F3C">
        <w:rPr>
          <w:rFonts w:ascii="Arial" w:hAnsi="Arial" w:cs="Arial"/>
        </w:rPr>
        <w:t>a human’s natural instinct</w:t>
      </w:r>
      <w:r w:rsidRPr="00883F3C">
        <w:rPr>
          <w:rFonts w:ascii="Arial" w:hAnsi="Arial" w:cs="Arial"/>
        </w:rPr>
        <w:t xml:space="preserve"> to render assistance to those in despair immediately. </w:t>
      </w:r>
      <w:r w:rsidR="007D09F5" w:rsidRPr="00883F3C">
        <w:rPr>
          <w:rFonts w:ascii="Arial" w:hAnsi="Arial" w:cs="Arial"/>
        </w:rPr>
        <w:t>According to the</w:t>
      </w:r>
      <w:r w:rsidR="00074ED8" w:rsidRPr="00883F3C">
        <w:rPr>
          <w:rFonts w:ascii="Arial" w:hAnsi="Arial" w:cs="Arial"/>
        </w:rPr>
        <w:t xml:space="preserve"> “but for” </w:t>
      </w:r>
      <w:r w:rsidR="00B97408" w:rsidRPr="00883F3C">
        <w:rPr>
          <w:rFonts w:ascii="Arial" w:hAnsi="Arial" w:cs="Arial"/>
        </w:rPr>
        <w:t>analysis</w:t>
      </w:r>
      <w:r w:rsidR="00074ED8" w:rsidRPr="00883F3C">
        <w:rPr>
          <w:rFonts w:ascii="Arial" w:hAnsi="Arial" w:cs="Arial"/>
        </w:rPr>
        <w:t xml:space="preserve">, </w:t>
      </w:r>
      <w:r w:rsidR="007D09F5" w:rsidRPr="00883F3C">
        <w:rPr>
          <w:rFonts w:ascii="Arial" w:hAnsi="Arial" w:cs="Arial"/>
        </w:rPr>
        <w:t xml:space="preserve">the </w:t>
      </w:r>
      <w:r w:rsidR="00677B88">
        <w:rPr>
          <w:rFonts w:ascii="Arial" w:hAnsi="Arial" w:cs="Arial"/>
        </w:rPr>
        <w:t>plaintiff would not suffer</w:t>
      </w:r>
      <w:r w:rsidR="00074ED8" w:rsidRPr="00883F3C">
        <w:rPr>
          <w:rFonts w:ascii="Arial" w:hAnsi="Arial" w:cs="Arial"/>
        </w:rPr>
        <w:t xml:space="preserve"> damage but for a “certain event” that caused damage. It forms </w:t>
      </w:r>
      <w:r w:rsidR="007D09F5" w:rsidRPr="00883F3C">
        <w:rPr>
          <w:rFonts w:ascii="Arial" w:hAnsi="Arial" w:cs="Arial"/>
        </w:rPr>
        <w:t>an in</w:t>
      </w:r>
      <w:r w:rsidR="00074ED8" w:rsidRPr="00883F3C">
        <w:rPr>
          <w:rFonts w:ascii="Arial" w:hAnsi="Arial" w:cs="Arial"/>
        </w:rPr>
        <w:t>direct relationship between</w:t>
      </w:r>
      <w:r w:rsidR="00677B88">
        <w:rPr>
          <w:rFonts w:ascii="Arial" w:hAnsi="Arial" w:cs="Arial"/>
        </w:rPr>
        <w:t xml:space="preserve"> the plaintiff’s damage and </w:t>
      </w:r>
      <w:r w:rsidR="00074ED8" w:rsidRPr="00883F3C">
        <w:rPr>
          <w:rFonts w:ascii="Arial" w:hAnsi="Arial" w:cs="Arial"/>
        </w:rPr>
        <w:t xml:space="preserve">defendant’s negligence. </w:t>
      </w:r>
      <w:r w:rsidR="007D09F5" w:rsidRPr="00883F3C">
        <w:rPr>
          <w:rFonts w:ascii="Arial" w:hAnsi="Arial" w:cs="Arial"/>
        </w:rPr>
        <w:t>Acer would not have slipped on Packard’s vomit if Packard did not feel nauseas had he not eaten the burger containing a liz</w:t>
      </w:r>
      <w:r w:rsidR="00B97408" w:rsidRPr="00883F3C">
        <w:rPr>
          <w:rFonts w:ascii="Arial" w:hAnsi="Arial" w:cs="Arial"/>
        </w:rPr>
        <w:t xml:space="preserve">ard that Eatndie Restaurant </w:t>
      </w:r>
      <w:r w:rsidR="007D09F5" w:rsidRPr="00883F3C">
        <w:rPr>
          <w:rFonts w:ascii="Arial" w:hAnsi="Arial" w:cs="Arial"/>
        </w:rPr>
        <w:t xml:space="preserve">prepared. </w:t>
      </w:r>
    </w:p>
    <w:p w:rsidR="0085377F" w:rsidRPr="00883F3C" w:rsidRDefault="0085377F"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DE716F" w:rsidRPr="00883F3C" w:rsidRDefault="00DE716F"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7D09F5" w:rsidRPr="00883F3C" w:rsidRDefault="007D09F5" w:rsidP="00883F3C">
      <w:pPr>
        <w:spacing w:line="360" w:lineRule="auto"/>
        <w:rPr>
          <w:rFonts w:ascii="Arial" w:hAnsi="Arial" w:cs="Arial"/>
        </w:rPr>
      </w:pPr>
    </w:p>
    <w:p w:rsidR="00677B88" w:rsidRDefault="00677B88" w:rsidP="00883F3C">
      <w:pPr>
        <w:spacing w:line="360" w:lineRule="auto"/>
        <w:rPr>
          <w:rFonts w:ascii="Arial" w:hAnsi="Arial" w:cs="Arial"/>
        </w:rPr>
      </w:pPr>
    </w:p>
    <w:p w:rsidR="00677B88" w:rsidRDefault="00677B88" w:rsidP="00883F3C">
      <w:pPr>
        <w:spacing w:line="360" w:lineRule="auto"/>
        <w:rPr>
          <w:rFonts w:ascii="Arial" w:hAnsi="Arial" w:cs="Arial"/>
        </w:rPr>
      </w:pPr>
    </w:p>
    <w:p w:rsidR="00677B88" w:rsidRDefault="00677B88" w:rsidP="00883F3C">
      <w:pPr>
        <w:spacing w:line="360" w:lineRule="auto"/>
        <w:rPr>
          <w:rFonts w:ascii="Arial" w:hAnsi="Arial" w:cs="Arial"/>
        </w:rPr>
      </w:pPr>
    </w:p>
    <w:p w:rsidR="00677B88" w:rsidRDefault="00677B88" w:rsidP="00883F3C">
      <w:pPr>
        <w:spacing w:line="360" w:lineRule="auto"/>
        <w:rPr>
          <w:rFonts w:ascii="Arial" w:hAnsi="Arial" w:cs="Arial"/>
        </w:rPr>
      </w:pPr>
    </w:p>
    <w:p w:rsidR="00677B88" w:rsidRDefault="00677B88" w:rsidP="00883F3C">
      <w:pPr>
        <w:spacing w:line="360" w:lineRule="auto"/>
        <w:rPr>
          <w:rFonts w:ascii="Arial" w:hAnsi="Arial" w:cs="Arial"/>
        </w:rPr>
      </w:pPr>
    </w:p>
    <w:p w:rsidR="00677B88" w:rsidRDefault="00677B88" w:rsidP="00883F3C">
      <w:pPr>
        <w:spacing w:line="360" w:lineRule="auto"/>
        <w:rPr>
          <w:rFonts w:ascii="Arial" w:hAnsi="Arial" w:cs="Arial"/>
        </w:rPr>
      </w:pPr>
    </w:p>
    <w:p w:rsidR="00677B88" w:rsidRDefault="00677B88" w:rsidP="00883F3C">
      <w:pPr>
        <w:spacing w:line="360" w:lineRule="auto"/>
        <w:rPr>
          <w:rFonts w:ascii="Arial" w:hAnsi="Arial" w:cs="Arial"/>
        </w:rPr>
      </w:pPr>
    </w:p>
    <w:p w:rsidR="00677B88" w:rsidRDefault="00677B88" w:rsidP="00883F3C">
      <w:pPr>
        <w:spacing w:line="360" w:lineRule="auto"/>
        <w:rPr>
          <w:rFonts w:ascii="Arial" w:hAnsi="Arial" w:cs="Arial"/>
        </w:rPr>
      </w:pPr>
    </w:p>
    <w:p w:rsidR="00677B88" w:rsidRDefault="00677B88" w:rsidP="00883F3C">
      <w:pPr>
        <w:spacing w:line="360" w:lineRule="auto"/>
        <w:rPr>
          <w:rFonts w:ascii="Arial" w:hAnsi="Arial" w:cs="Arial"/>
        </w:rPr>
      </w:pPr>
    </w:p>
    <w:p w:rsidR="00677B88" w:rsidRDefault="00677B88" w:rsidP="00883F3C">
      <w:pPr>
        <w:spacing w:line="360" w:lineRule="auto"/>
        <w:rPr>
          <w:rFonts w:ascii="Arial" w:hAnsi="Arial" w:cs="Arial"/>
        </w:rPr>
      </w:pPr>
    </w:p>
    <w:p w:rsidR="00D7545B" w:rsidRDefault="00D7545B" w:rsidP="00883F3C">
      <w:pPr>
        <w:spacing w:line="360" w:lineRule="auto"/>
        <w:rPr>
          <w:rFonts w:ascii="Arial" w:hAnsi="Arial" w:cs="Arial"/>
        </w:rPr>
      </w:pPr>
    </w:p>
    <w:p w:rsidR="00D7545B" w:rsidRDefault="00D7545B" w:rsidP="00883F3C">
      <w:pPr>
        <w:spacing w:line="360" w:lineRule="auto"/>
        <w:rPr>
          <w:rFonts w:ascii="Arial" w:hAnsi="Arial" w:cs="Arial"/>
        </w:rPr>
      </w:pPr>
    </w:p>
    <w:p w:rsidR="00677B88" w:rsidRDefault="00677B88" w:rsidP="00883F3C">
      <w:pPr>
        <w:spacing w:line="360" w:lineRule="auto"/>
        <w:rPr>
          <w:rFonts w:ascii="Arial" w:hAnsi="Arial" w:cs="Arial"/>
        </w:rPr>
      </w:pPr>
    </w:p>
    <w:p w:rsidR="00182DC7" w:rsidRPr="00883F3C" w:rsidRDefault="00677B88" w:rsidP="00883F3C">
      <w:pPr>
        <w:spacing w:line="360" w:lineRule="auto"/>
        <w:rPr>
          <w:rFonts w:ascii="Arial" w:hAnsi="Arial" w:cs="Arial"/>
        </w:rPr>
      </w:pPr>
      <w:r>
        <w:rPr>
          <w:rFonts w:ascii="Arial" w:hAnsi="Arial" w:cs="Arial"/>
        </w:rPr>
        <w:t xml:space="preserve">c) </w:t>
      </w:r>
      <w:r w:rsidR="007D09F5" w:rsidRPr="00883F3C">
        <w:rPr>
          <w:rFonts w:ascii="Arial" w:hAnsi="Arial" w:cs="Arial"/>
        </w:rPr>
        <w:t>The legal i</w:t>
      </w:r>
      <w:r w:rsidR="00B34073" w:rsidRPr="00883F3C">
        <w:rPr>
          <w:rFonts w:ascii="Arial" w:hAnsi="Arial" w:cs="Arial"/>
        </w:rPr>
        <w:t xml:space="preserve">ssue </w:t>
      </w:r>
      <w:r>
        <w:rPr>
          <w:rFonts w:ascii="Arial" w:hAnsi="Arial" w:cs="Arial"/>
        </w:rPr>
        <w:t>is</w:t>
      </w:r>
      <w:r w:rsidR="00B34073" w:rsidRPr="00883F3C">
        <w:rPr>
          <w:rFonts w:ascii="Arial" w:hAnsi="Arial" w:cs="Arial"/>
        </w:rPr>
        <w:t xml:space="preserve"> whether </w:t>
      </w:r>
      <w:proofErr w:type="gramStart"/>
      <w:r w:rsidR="00595FD6" w:rsidRPr="00883F3C">
        <w:rPr>
          <w:rFonts w:ascii="Arial" w:hAnsi="Arial" w:cs="Arial"/>
        </w:rPr>
        <w:t xml:space="preserve">obligations contained in the contract are </w:t>
      </w:r>
      <w:r w:rsidR="005C5CB9">
        <w:rPr>
          <w:rFonts w:ascii="Arial" w:hAnsi="Arial" w:cs="Arial"/>
        </w:rPr>
        <w:t>expressed</w:t>
      </w:r>
      <w:r>
        <w:rPr>
          <w:rFonts w:ascii="Arial" w:hAnsi="Arial" w:cs="Arial"/>
        </w:rPr>
        <w:t xml:space="preserve"> by Percil to Acer</w:t>
      </w:r>
      <w:proofErr w:type="gramEnd"/>
      <w:r>
        <w:rPr>
          <w:rFonts w:ascii="Arial" w:hAnsi="Arial" w:cs="Arial"/>
        </w:rPr>
        <w:t>. There is</w:t>
      </w:r>
      <w:r w:rsidR="00595FD6" w:rsidRPr="00883F3C">
        <w:rPr>
          <w:rFonts w:ascii="Arial" w:hAnsi="Arial" w:cs="Arial"/>
        </w:rPr>
        <w:t xml:space="preserve"> an ex</w:t>
      </w:r>
      <w:r w:rsidR="005E26F6" w:rsidRPr="00883F3C">
        <w:rPr>
          <w:rFonts w:ascii="Arial" w:hAnsi="Arial" w:cs="Arial"/>
        </w:rPr>
        <w:t>emption</w:t>
      </w:r>
      <w:r w:rsidR="00595FD6" w:rsidRPr="00883F3C">
        <w:rPr>
          <w:rFonts w:ascii="Arial" w:hAnsi="Arial" w:cs="Arial"/>
        </w:rPr>
        <w:t xml:space="preserve"> clause in the acknowledgement form signed by Acer and for </w:t>
      </w:r>
      <w:r>
        <w:rPr>
          <w:rFonts w:ascii="Arial" w:hAnsi="Arial" w:cs="Arial"/>
        </w:rPr>
        <w:t xml:space="preserve">it </w:t>
      </w:r>
      <w:r w:rsidR="00B34073" w:rsidRPr="00883F3C">
        <w:rPr>
          <w:rFonts w:ascii="Arial" w:hAnsi="Arial" w:cs="Arial"/>
        </w:rPr>
        <w:t xml:space="preserve">to be </w:t>
      </w:r>
      <w:proofErr w:type="gramStart"/>
      <w:r w:rsidR="00182DC7" w:rsidRPr="00883F3C">
        <w:rPr>
          <w:rFonts w:ascii="Arial" w:hAnsi="Arial" w:cs="Arial"/>
        </w:rPr>
        <w:t>vali</w:t>
      </w:r>
      <w:r w:rsidR="00503328" w:rsidRPr="00883F3C">
        <w:rPr>
          <w:rFonts w:ascii="Arial" w:hAnsi="Arial" w:cs="Arial"/>
        </w:rPr>
        <w:t>d,</w:t>
      </w:r>
      <w:proofErr w:type="gramEnd"/>
      <w:r w:rsidR="00B34073" w:rsidRPr="00883F3C">
        <w:rPr>
          <w:rFonts w:ascii="Arial" w:hAnsi="Arial" w:cs="Arial"/>
        </w:rPr>
        <w:t xml:space="preserve"> </w:t>
      </w:r>
      <w:r w:rsidR="00182DC7" w:rsidRPr="00883F3C">
        <w:rPr>
          <w:rFonts w:ascii="Arial" w:hAnsi="Arial" w:cs="Arial"/>
        </w:rPr>
        <w:t xml:space="preserve">we must determine if </w:t>
      </w:r>
      <w:r>
        <w:rPr>
          <w:rFonts w:ascii="Arial" w:hAnsi="Arial" w:cs="Arial"/>
        </w:rPr>
        <w:t>it had</w:t>
      </w:r>
      <w:r w:rsidR="00182DC7" w:rsidRPr="00883F3C">
        <w:rPr>
          <w:rFonts w:ascii="Arial" w:hAnsi="Arial" w:cs="Arial"/>
        </w:rPr>
        <w:t xml:space="preserve"> been incorp</w:t>
      </w:r>
      <w:r>
        <w:rPr>
          <w:rFonts w:ascii="Arial" w:hAnsi="Arial" w:cs="Arial"/>
        </w:rPr>
        <w:t>ora</w:t>
      </w:r>
      <w:r w:rsidR="00D7545B">
        <w:rPr>
          <w:rFonts w:ascii="Arial" w:hAnsi="Arial" w:cs="Arial"/>
        </w:rPr>
        <w:t xml:space="preserve">ted into the contract. </w:t>
      </w:r>
    </w:p>
    <w:p w:rsidR="005E26F6" w:rsidRPr="00883F3C" w:rsidRDefault="005E26F6" w:rsidP="00883F3C">
      <w:pPr>
        <w:spacing w:line="360" w:lineRule="auto"/>
        <w:rPr>
          <w:rFonts w:ascii="Arial" w:hAnsi="Arial" w:cs="Arial"/>
        </w:rPr>
      </w:pPr>
    </w:p>
    <w:p w:rsidR="00503328" w:rsidRPr="00883F3C" w:rsidRDefault="00D0407A" w:rsidP="00883F3C">
      <w:pPr>
        <w:spacing w:line="360" w:lineRule="auto"/>
        <w:rPr>
          <w:rFonts w:ascii="Arial" w:hAnsi="Arial" w:cs="Arial"/>
        </w:rPr>
      </w:pPr>
      <w:r w:rsidRPr="00883F3C">
        <w:rPr>
          <w:rFonts w:ascii="Arial" w:hAnsi="Arial" w:cs="Arial"/>
        </w:rPr>
        <w:t xml:space="preserve">Express terms are </w:t>
      </w:r>
      <w:r w:rsidR="00677B88">
        <w:rPr>
          <w:rFonts w:ascii="Arial" w:hAnsi="Arial" w:cs="Arial"/>
        </w:rPr>
        <w:t>agreed</w:t>
      </w:r>
      <w:r w:rsidRPr="00883F3C">
        <w:rPr>
          <w:rFonts w:ascii="Arial" w:hAnsi="Arial" w:cs="Arial"/>
        </w:rPr>
        <w:t xml:space="preserve"> expressly by both parties in an oral or written contract. </w:t>
      </w:r>
      <w:r w:rsidR="005E26F6" w:rsidRPr="00883F3C">
        <w:rPr>
          <w:rFonts w:ascii="Arial" w:hAnsi="Arial" w:cs="Arial"/>
        </w:rPr>
        <w:t xml:space="preserve">Stating an exemption clause in a contract effectively assures that the party who includes it in will limit or exclude liability under circumstances where there is </w:t>
      </w:r>
      <w:r w:rsidR="006C08B9">
        <w:rPr>
          <w:rFonts w:ascii="Arial" w:hAnsi="Arial" w:cs="Arial"/>
        </w:rPr>
        <w:t>a breach</w:t>
      </w:r>
      <w:r w:rsidR="00503328" w:rsidRPr="00883F3C">
        <w:rPr>
          <w:rFonts w:ascii="Arial" w:hAnsi="Arial" w:cs="Arial"/>
        </w:rPr>
        <w:t xml:space="preserve">. Incorporting an exemption clause bounds into a contract where a contractual document is produced, </w:t>
      </w:r>
      <w:r w:rsidR="00182DC7" w:rsidRPr="00883F3C">
        <w:rPr>
          <w:rFonts w:ascii="Arial" w:hAnsi="Arial" w:cs="Arial"/>
        </w:rPr>
        <w:t>regardless</w:t>
      </w:r>
      <w:r w:rsidR="00503328" w:rsidRPr="00883F3C">
        <w:rPr>
          <w:rFonts w:ascii="Arial" w:hAnsi="Arial" w:cs="Arial"/>
        </w:rPr>
        <w:t xml:space="preserve"> if it is read or understood. </w:t>
      </w:r>
    </w:p>
    <w:p w:rsidR="00503328" w:rsidRPr="00883F3C" w:rsidRDefault="00503328" w:rsidP="00883F3C">
      <w:pPr>
        <w:spacing w:line="360" w:lineRule="auto"/>
        <w:rPr>
          <w:rFonts w:ascii="Arial" w:hAnsi="Arial" w:cs="Arial"/>
        </w:rPr>
      </w:pPr>
    </w:p>
    <w:p w:rsidR="007D09F5" w:rsidRPr="00883F3C" w:rsidRDefault="00677B88" w:rsidP="00883F3C">
      <w:pPr>
        <w:spacing w:line="360" w:lineRule="auto"/>
        <w:rPr>
          <w:rFonts w:ascii="Arial" w:hAnsi="Arial" w:cs="Arial"/>
        </w:rPr>
      </w:pPr>
      <w:r>
        <w:rPr>
          <w:rFonts w:ascii="Arial" w:hAnsi="Arial" w:cs="Arial"/>
        </w:rPr>
        <w:t>By</w:t>
      </w:r>
      <w:r w:rsidR="00E2375B" w:rsidRPr="00883F3C">
        <w:rPr>
          <w:rFonts w:ascii="Arial" w:hAnsi="Arial" w:cs="Arial"/>
        </w:rPr>
        <w:t xml:space="preserve"> signing a form to acknowledge that Acer has left her dress </w:t>
      </w:r>
      <w:r w:rsidR="00D0407A" w:rsidRPr="00883F3C">
        <w:rPr>
          <w:rFonts w:ascii="Arial" w:hAnsi="Arial" w:cs="Arial"/>
        </w:rPr>
        <w:t>at Fresh n Foul Laundry, she is deemed to have</w:t>
      </w:r>
      <w:r w:rsidR="00E2375B" w:rsidRPr="00883F3C">
        <w:rPr>
          <w:rFonts w:ascii="Arial" w:hAnsi="Arial" w:cs="Arial"/>
        </w:rPr>
        <w:t xml:space="preserve"> agreed to the terms and conditons stated in the form. Even if she did not read or understood the form, it is taken that she has agreed to the exemption clause in the form. </w:t>
      </w:r>
      <w:r w:rsidR="00DD62BB">
        <w:rPr>
          <w:rFonts w:ascii="Arial" w:hAnsi="Arial" w:cs="Arial"/>
        </w:rPr>
        <w:t>In the</w:t>
      </w:r>
      <w:r w:rsidR="00E2145C" w:rsidRPr="00883F3C">
        <w:rPr>
          <w:rFonts w:ascii="Arial" w:hAnsi="Arial" w:cs="Arial"/>
        </w:rPr>
        <w:t xml:space="preserve"> case of </w:t>
      </w:r>
      <w:r w:rsidR="00E2145C" w:rsidRPr="00883F3C">
        <w:rPr>
          <w:rFonts w:ascii="Arial" w:hAnsi="Arial" w:cs="Arial"/>
          <w:u w:val="single"/>
        </w:rPr>
        <w:t>Thompson v LMS Railway (1930)</w:t>
      </w:r>
      <w:r w:rsidR="00DD62BB">
        <w:rPr>
          <w:rFonts w:ascii="Arial" w:hAnsi="Arial" w:cs="Arial"/>
          <w:u w:val="single"/>
        </w:rPr>
        <w:t>,</w:t>
      </w:r>
      <w:r w:rsidR="00DD62BB">
        <w:rPr>
          <w:rFonts w:ascii="Arial" w:hAnsi="Arial" w:cs="Arial"/>
        </w:rPr>
        <w:t xml:space="preserve"> </w:t>
      </w:r>
      <w:r w:rsidR="00E2145C" w:rsidRPr="00883F3C">
        <w:rPr>
          <w:rFonts w:ascii="Arial" w:hAnsi="Arial" w:cs="Arial"/>
        </w:rPr>
        <w:t xml:space="preserve">the plaintiff had not read the exemption clause that excluded liability for injury on the timetable. The court determined that from the purchase of the ticket, conditions had been expressed. As such, even though the plaintiff did not read them, the exemption clause was still valid. </w:t>
      </w:r>
      <w:r w:rsidR="00E2375B" w:rsidRPr="00883F3C">
        <w:rPr>
          <w:rFonts w:ascii="Arial" w:hAnsi="Arial" w:cs="Arial"/>
        </w:rPr>
        <w:t xml:space="preserve">Thus, </w:t>
      </w:r>
      <w:r w:rsidR="00E2145C" w:rsidRPr="00883F3C">
        <w:rPr>
          <w:rFonts w:ascii="Arial" w:hAnsi="Arial" w:cs="Arial"/>
        </w:rPr>
        <w:t xml:space="preserve">Acer </w:t>
      </w:r>
      <w:r w:rsidR="00E2375B" w:rsidRPr="00883F3C">
        <w:rPr>
          <w:rFonts w:ascii="Arial" w:hAnsi="Arial" w:cs="Arial"/>
        </w:rPr>
        <w:t>is unable to sue</w:t>
      </w:r>
      <w:r w:rsidR="00E2145C" w:rsidRPr="00883F3C">
        <w:rPr>
          <w:rFonts w:ascii="Arial" w:hAnsi="Arial" w:cs="Arial"/>
        </w:rPr>
        <w:t xml:space="preserve"> Percil for damaging her dress as she has signed a written contract</w:t>
      </w:r>
      <w:r w:rsidR="00DD62BB">
        <w:rPr>
          <w:rFonts w:ascii="Arial" w:hAnsi="Arial" w:cs="Arial"/>
        </w:rPr>
        <w:t xml:space="preserve"> with</w:t>
      </w:r>
      <w:r w:rsidR="00E2145C" w:rsidRPr="00883F3C">
        <w:rPr>
          <w:rFonts w:ascii="Arial" w:hAnsi="Arial" w:cs="Arial"/>
        </w:rPr>
        <w:t xml:space="preserve"> an exemption clause. </w:t>
      </w:r>
    </w:p>
    <w:p w:rsidR="0085377F" w:rsidRPr="00883F3C" w:rsidRDefault="0085377F" w:rsidP="00883F3C">
      <w:pPr>
        <w:spacing w:line="360" w:lineRule="auto"/>
        <w:rPr>
          <w:rFonts w:ascii="Arial" w:hAnsi="Arial" w:cs="Arial"/>
        </w:rPr>
      </w:pPr>
    </w:p>
    <w:p w:rsidR="005A2AC9" w:rsidRPr="00883F3C" w:rsidRDefault="00D0407A" w:rsidP="00883F3C">
      <w:pPr>
        <w:spacing w:line="360" w:lineRule="auto"/>
        <w:rPr>
          <w:rFonts w:ascii="Arial" w:hAnsi="Arial" w:cs="Arial"/>
        </w:rPr>
      </w:pPr>
      <w:r w:rsidRPr="00883F3C">
        <w:rPr>
          <w:rFonts w:ascii="Arial" w:hAnsi="Arial" w:cs="Arial"/>
        </w:rPr>
        <w:t xml:space="preserve">However, </w:t>
      </w:r>
      <w:r w:rsidR="00DD62BB">
        <w:rPr>
          <w:rFonts w:ascii="Arial" w:hAnsi="Arial" w:cs="Arial"/>
        </w:rPr>
        <w:t>in</w:t>
      </w:r>
      <w:r w:rsidR="005A2AC9" w:rsidRPr="00883F3C">
        <w:rPr>
          <w:rFonts w:ascii="Arial" w:hAnsi="Arial" w:cs="Arial"/>
        </w:rPr>
        <w:t xml:space="preserve"> </w:t>
      </w:r>
      <w:r w:rsidR="005A2AC9" w:rsidRPr="00883F3C">
        <w:rPr>
          <w:rFonts w:ascii="Arial" w:hAnsi="Arial" w:cs="Arial"/>
          <w:u w:val="single"/>
        </w:rPr>
        <w:t>Chapelton v Barry Urban Council (1949)</w:t>
      </w:r>
      <w:r w:rsidR="006C08B9">
        <w:rPr>
          <w:rFonts w:ascii="Arial" w:hAnsi="Arial" w:cs="Arial"/>
        </w:rPr>
        <w:t xml:space="preserve"> the exemption clause </w:t>
      </w:r>
      <w:r w:rsidR="005A2AC9" w:rsidRPr="00883F3C">
        <w:rPr>
          <w:rFonts w:ascii="Arial" w:hAnsi="Arial" w:cs="Arial"/>
        </w:rPr>
        <w:t xml:space="preserve">was stated at the back of the ticket. The court ruled that a reasonable man would presume that the ticket was just a receipt and not a </w:t>
      </w:r>
      <w:r w:rsidR="00DE716F" w:rsidRPr="00883F3C">
        <w:rPr>
          <w:rFonts w:ascii="Arial" w:hAnsi="Arial" w:cs="Arial"/>
        </w:rPr>
        <w:t>contractual document stipulating</w:t>
      </w:r>
      <w:r w:rsidR="005A2AC9" w:rsidRPr="00883F3C">
        <w:rPr>
          <w:rFonts w:ascii="Arial" w:hAnsi="Arial" w:cs="Arial"/>
        </w:rPr>
        <w:t xml:space="preserve"> conditions. The exemption clause had not been successfully incorporated so it is deemed invalid. </w:t>
      </w:r>
    </w:p>
    <w:p w:rsidR="005A2AC9" w:rsidRPr="00883F3C" w:rsidRDefault="005A2AC9" w:rsidP="00883F3C">
      <w:pPr>
        <w:spacing w:line="360" w:lineRule="auto"/>
        <w:rPr>
          <w:rFonts w:ascii="Arial" w:hAnsi="Arial" w:cs="Arial"/>
        </w:rPr>
      </w:pPr>
    </w:p>
    <w:p w:rsidR="00D0407A" w:rsidRPr="00883F3C" w:rsidRDefault="005A2AC9" w:rsidP="00883F3C">
      <w:pPr>
        <w:spacing w:line="360" w:lineRule="auto"/>
        <w:rPr>
          <w:rFonts w:ascii="Arial" w:hAnsi="Arial" w:cs="Arial"/>
        </w:rPr>
      </w:pPr>
      <w:r w:rsidRPr="00883F3C">
        <w:rPr>
          <w:rFonts w:ascii="Arial" w:hAnsi="Arial" w:cs="Arial"/>
        </w:rPr>
        <w:t>Therefore, Acer can claim that what she had signed was a mere acknowledgement that she has left her dress at the store, which did not tantamount to an acknowledgement of exemption clause. She</w:t>
      </w:r>
      <w:r w:rsidR="00DE716F" w:rsidRPr="00883F3C">
        <w:rPr>
          <w:rFonts w:ascii="Arial" w:hAnsi="Arial" w:cs="Arial"/>
        </w:rPr>
        <w:t xml:space="preserve"> can also insist that she had</w:t>
      </w:r>
      <w:r w:rsidRPr="00883F3C">
        <w:rPr>
          <w:rFonts w:ascii="Arial" w:hAnsi="Arial" w:cs="Arial"/>
        </w:rPr>
        <w:t xml:space="preserve"> been misled </w:t>
      </w:r>
      <w:r w:rsidR="002611FE" w:rsidRPr="00883F3C">
        <w:rPr>
          <w:rFonts w:ascii="Arial" w:hAnsi="Arial" w:cs="Arial"/>
        </w:rPr>
        <w:t xml:space="preserve">by Percil’s claim that his “cleanser was safe on all fabrics and there was nothing to be worried about.” Acer can sue Percil on the grounds of </w:t>
      </w:r>
      <w:r w:rsidR="008C6471" w:rsidRPr="00883F3C">
        <w:rPr>
          <w:rFonts w:ascii="Arial" w:hAnsi="Arial" w:cs="Arial"/>
        </w:rPr>
        <w:t>misrepresentation,</w:t>
      </w:r>
      <w:r w:rsidR="00DE716F" w:rsidRPr="00883F3C">
        <w:rPr>
          <w:rFonts w:ascii="Arial" w:hAnsi="Arial" w:cs="Arial"/>
        </w:rPr>
        <w:t xml:space="preserve"> as Percil</w:t>
      </w:r>
      <w:r w:rsidR="00DD62BB">
        <w:rPr>
          <w:rFonts w:ascii="Arial" w:hAnsi="Arial" w:cs="Arial"/>
        </w:rPr>
        <w:t>’s</w:t>
      </w:r>
      <w:r w:rsidR="00DE716F" w:rsidRPr="00883F3C">
        <w:rPr>
          <w:rFonts w:ascii="Arial" w:hAnsi="Arial" w:cs="Arial"/>
        </w:rPr>
        <w:t xml:space="preserve"> statement</w:t>
      </w:r>
      <w:r w:rsidR="002611FE" w:rsidRPr="00883F3C">
        <w:rPr>
          <w:rFonts w:ascii="Arial" w:hAnsi="Arial" w:cs="Arial"/>
        </w:rPr>
        <w:t xml:space="preserve"> </w:t>
      </w:r>
      <w:r w:rsidR="008C6471" w:rsidRPr="00883F3C">
        <w:rPr>
          <w:rFonts w:ascii="Arial" w:hAnsi="Arial" w:cs="Arial"/>
        </w:rPr>
        <w:t>was not a fact but an opinion that</w:t>
      </w:r>
      <w:r w:rsidR="002611FE" w:rsidRPr="00883F3C">
        <w:rPr>
          <w:rFonts w:ascii="Arial" w:hAnsi="Arial" w:cs="Arial"/>
        </w:rPr>
        <w:t xml:space="preserve"> had induced Acer in believing that her dress would be safe. </w:t>
      </w:r>
    </w:p>
    <w:p w:rsidR="00D0407A" w:rsidRPr="00883F3C" w:rsidRDefault="00D0407A" w:rsidP="00883F3C">
      <w:pPr>
        <w:spacing w:line="360" w:lineRule="auto"/>
        <w:rPr>
          <w:rFonts w:ascii="Arial" w:hAnsi="Arial" w:cs="Arial"/>
        </w:rPr>
      </w:pPr>
    </w:p>
    <w:p w:rsidR="008C6471" w:rsidRPr="00883F3C" w:rsidRDefault="008C6471" w:rsidP="00883F3C">
      <w:pPr>
        <w:spacing w:line="360" w:lineRule="auto"/>
        <w:rPr>
          <w:rFonts w:ascii="Arial" w:hAnsi="Arial" w:cs="Arial"/>
        </w:rPr>
      </w:pPr>
    </w:p>
    <w:p w:rsidR="008C6471" w:rsidRPr="00883F3C" w:rsidRDefault="008C6471" w:rsidP="00883F3C">
      <w:pPr>
        <w:spacing w:line="360" w:lineRule="auto"/>
        <w:rPr>
          <w:rFonts w:ascii="Arial" w:hAnsi="Arial" w:cs="Arial"/>
        </w:rPr>
      </w:pPr>
    </w:p>
    <w:p w:rsidR="008C6471" w:rsidRPr="00883F3C" w:rsidRDefault="008C6471" w:rsidP="00883F3C">
      <w:pPr>
        <w:spacing w:line="360" w:lineRule="auto"/>
        <w:rPr>
          <w:rFonts w:ascii="Arial" w:hAnsi="Arial" w:cs="Arial"/>
        </w:rPr>
      </w:pPr>
    </w:p>
    <w:p w:rsidR="008C6471" w:rsidRPr="00883F3C" w:rsidRDefault="008C6471" w:rsidP="00883F3C">
      <w:pPr>
        <w:spacing w:line="360" w:lineRule="auto"/>
        <w:rPr>
          <w:rFonts w:ascii="Arial" w:hAnsi="Arial" w:cs="Arial"/>
        </w:rPr>
      </w:pPr>
    </w:p>
    <w:p w:rsidR="008C6471" w:rsidRPr="00883F3C" w:rsidRDefault="008C6471" w:rsidP="00883F3C">
      <w:pPr>
        <w:spacing w:line="360" w:lineRule="auto"/>
        <w:rPr>
          <w:rFonts w:ascii="Arial" w:hAnsi="Arial" w:cs="Arial"/>
        </w:rPr>
      </w:pPr>
    </w:p>
    <w:p w:rsidR="008C6471" w:rsidRPr="00883F3C" w:rsidRDefault="008C6471" w:rsidP="00883F3C">
      <w:pPr>
        <w:spacing w:line="360" w:lineRule="auto"/>
        <w:rPr>
          <w:rFonts w:ascii="Arial" w:hAnsi="Arial" w:cs="Arial"/>
        </w:rPr>
      </w:pPr>
    </w:p>
    <w:p w:rsidR="008C6471" w:rsidRPr="00883F3C" w:rsidRDefault="008C6471" w:rsidP="00883F3C">
      <w:pPr>
        <w:spacing w:line="360" w:lineRule="auto"/>
        <w:rPr>
          <w:rFonts w:ascii="Arial" w:hAnsi="Arial" w:cs="Arial"/>
        </w:rPr>
      </w:pPr>
    </w:p>
    <w:p w:rsidR="008C6471" w:rsidRDefault="008C6471"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Default="00DD62BB" w:rsidP="00883F3C">
      <w:pPr>
        <w:spacing w:line="360" w:lineRule="auto"/>
        <w:rPr>
          <w:rFonts w:ascii="Arial" w:hAnsi="Arial" w:cs="Arial"/>
        </w:rPr>
      </w:pPr>
    </w:p>
    <w:p w:rsidR="00DD62BB" w:rsidRPr="00883F3C" w:rsidRDefault="00DD62BB" w:rsidP="00883F3C">
      <w:pPr>
        <w:spacing w:line="360" w:lineRule="auto"/>
        <w:rPr>
          <w:rFonts w:ascii="Arial" w:hAnsi="Arial" w:cs="Arial"/>
        </w:rPr>
      </w:pPr>
    </w:p>
    <w:p w:rsidR="006C08B9" w:rsidRDefault="006C08B9" w:rsidP="00883F3C">
      <w:pPr>
        <w:spacing w:line="360" w:lineRule="auto"/>
        <w:ind w:left="360"/>
        <w:rPr>
          <w:rFonts w:ascii="Arial" w:hAnsi="Arial" w:cs="Arial"/>
          <w:b/>
        </w:rPr>
      </w:pPr>
    </w:p>
    <w:p w:rsidR="00074ED8" w:rsidRPr="00883F3C" w:rsidRDefault="00D025F8" w:rsidP="006C08B9">
      <w:pPr>
        <w:spacing w:line="360" w:lineRule="auto"/>
        <w:rPr>
          <w:rFonts w:ascii="Arial" w:hAnsi="Arial" w:cs="Arial"/>
          <w:b/>
        </w:rPr>
      </w:pPr>
      <w:r w:rsidRPr="00883F3C">
        <w:rPr>
          <w:rFonts w:ascii="Arial" w:hAnsi="Arial" w:cs="Arial"/>
          <w:b/>
        </w:rPr>
        <w:t xml:space="preserve">References </w:t>
      </w:r>
    </w:p>
    <w:p w:rsidR="00D025F8" w:rsidRPr="00883F3C" w:rsidRDefault="00D025F8" w:rsidP="006C08B9">
      <w:pPr>
        <w:ind w:left="360"/>
        <w:rPr>
          <w:rFonts w:ascii="Arial" w:hAnsi="Arial" w:cs="Arial"/>
        </w:rPr>
      </w:pPr>
    </w:p>
    <w:p w:rsidR="00D025F8" w:rsidRPr="00883F3C" w:rsidRDefault="00883F3C" w:rsidP="006C08B9">
      <w:pPr>
        <w:ind w:left="360"/>
        <w:rPr>
          <w:rFonts w:ascii="Arial" w:hAnsi="Arial" w:cs="Arial"/>
        </w:rPr>
      </w:pPr>
      <w:r w:rsidRPr="00883F3C">
        <w:rPr>
          <w:rFonts w:ascii="Arial" w:hAnsi="Arial" w:cs="Arial"/>
        </w:rPr>
        <w:t>Adams and Brownsword, “</w:t>
      </w:r>
      <w:r w:rsidR="00D025F8" w:rsidRPr="00883F3C">
        <w:rPr>
          <w:rFonts w:ascii="Arial" w:hAnsi="Arial" w:cs="Arial"/>
        </w:rPr>
        <w:t>The Unfair Contract Te</w:t>
      </w:r>
      <w:r w:rsidRPr="00883F3C">
        <w:rPr>
          <w:rFonts w:ascii="Arial" w:hAnsi="Arial" w:cs="Arial"/>
        </w:rPr>
        <w:t>rms Act: a decade of discretion”</w:t>
      </w:r>
      <w:r w:rsidR="00D025F8" w:rsidRPr="00883F3C">
        <w:rPr>
          <w:rFonts w:ascii="Arial" w:hAnsi="Arial" w:cs="Arial"/>
        </w:rPr>
        <w:t xml:space="preserve"> (1988)</w:t>
      </w:r>
    </w:p>
    <w:p w:rsidR="00D025F8" w:rsidRPr="00883F3C" w:rsidRDefault="00D025F8" w:rsidP="006C08B9">
      <w:pPr>
        <w:ind w:left="360"/>
        <w:rPr>
          <w:rFonts w:ascii="Arial" w:hAnsi="Arial" w:cs="Arial"/>
        </w:rPr>
      </w:pPr>
      <w:r w:rsidRPr="00883F3C">
        <w:rPr>
          <w:rFonts w:ascii="Arial" w:hAnsi="Arial" w:cs="Arial"/>
        </w:rPr>
        <w:t>104 LQR 94</w:t>
      </w:r>
    </w:p>
    <w:p w:rsidR="00D025F8" w:rsidRPr="00883F3C" w:rsidRDefault="00D025F8" w:rsidP="006C08B9">
      <w:pPr>
        <w:ind w:left="360"/>
        <w:rPr>
          <w:rFonts w:ascii="Arial" w:hAnsi="Arial" w:cs="Arial"/>
        </w:rPr>
      </w:pPr>
    </w:p>
    <w:p w:rsidR="00883F3C" w:rsidRPr="00883F3C" w:rsidRDefault="00883F3C" w:rsidP="006C08B9">
      <w:pPr>
        <w:ind w:left="360"/>
        <w:rPr>
          <w:rFonts w:ascii="Arial" w:hAnsi="Arial" w:cs="Arial"/>
        </w:rPr>
      </w:pPr>
      <w:r w:rsidRPr="00883F3C">
        <w:rPr>
          <w:rFonts w:ascii="Arial" w:hAnsi="Arial" w:cs="Arial"/>
        </w:rPr>
        <w:t>Bright, “Winning the battle against unfair contract terms” (2000) 20 LS 331.</w:t>
      </w:r>
    </w:p>
    <w:p w:rsidR="00883F3C" w:rsidRPr="00883F3C" w:rsidRDefault="00883F3C" w:rsidP="006C08B9">
      <w:pPr>
        <w:ind w:left="360"/>
        <w:rPr>
          <w:rFonts w:ascii="Arial" w:hAnsi="Arial" w:cs="Arial"/>
        </w:rPr>
      </w:pPr>
    </w:p>
    <w:p w:rsidR="00D025F8" w:rsidRPr="00883F3C" w:rsidRDefault="00883F3C" w:rsidP="006C08B9">
      <w:pPr>
        <w:ind w:left="360"/>
        <w:rPr>
          <w:rFonts w:ascii="Arial" w:hAnsi="Arial" w:cs="Arial"/>
        </w:rPr>
      </w:pPr>
      <w:proofErr w:type="gramStart"/>
      <w:r w:rsidRPr="00883F3C">
        <w:rPr>
          <w:rFonts w:ascii="Arial" w:hAnsi="Arial" w:cs="Arial"/>
        </w:rPr>
        <w:t>D .Hussain</w:t>
      </w:r>
      <w:proofErr w:type="gramEnd"/>
      <w:r w:rsidRPr="00883F3C">
        <w:rPr>
          <w:rFonts w:ascii="Arial" w:hAnsi="Arial" w:cs="Arial"/>
        </w:rPr>
        <w:t xml:space="preserve"> Publication. </w:t>
      </w:r>
      <w:proofErr w:type="gramStart"/>
      <w:r w:rsidRPr="00883F3C">
        <w:rPr>
          <w:rFonts w:ascii="Arial" w:hAnsi="Arial" w:cs="Arial"/>
        </w:rPr>
        <w:t>( n.d</w:t>
      </w:r>
      <w:proofErr w:type="gramEnd"/>
      <w:r w:rsidRPr="00883F3C">
        <w:rPr>
          <w:rFonts w:ascii="Arial" w:hAnsi="Arial" w:cs="Arial"/>
        </w:rPr>
        <w:t xml:space="preserve">). Notes on Tort of Negligence. Retrieved from </w:t>
      </w:r>
      <w:hyperlink r:id="rId6" w:history="1">
        <w:r w:rsidRPr="00883F3C">
          <w:rPr>
            <w:rStyle w:val="Hyperlink"/>
            <w:rFonts w:ascii="Arial" w:hAnsi="Arial" w:cs="Arial"/>
          </w:rPr>
          <w:t>http://home.loxfordlaw.co.uk/unit2/notes-on-tort-of-negligence</w:t>
        </w:r>
      </w:hyperlink>
    </w:p>
    <w:p w:rsidR="00883F3C" w:rsidRPr="00883F3C" w:rsidRDefault="00883F3C" w:rsidP="006C08B9">
      <w:pPr>
        <w:ind w:left="360"/>
        <w:rPr>
          <w:rFonts w:ascii="Arial" w:hAnsi="Arial" w:cs="Arial"/>
        </w:rPr>
      </w:pPr>
    </w:p>
    <w:p w:rsidR="00883F3C" w:rsidRPr="00883F3C" w:rsidRDefault="00883F3C" w:rsidP="006C08B9">
      <w:pPr>
        <w:ind w:left="360"/>
        <w:rPr>
          <w:rFonts w:ascii="Arial" w:hAnsi="Arial" w:cs="Arial"/>
        </w:rPr>
      </w:pPr>
    </w:p>
    <w:p w:rsidR="00883F3C" w:rsidRPr="00883F3C" w:rsidRDefault="00883F3C" w:rsidP="006C08B9">
      <w:pPr>
        <w:ind w:left="360"/>
        <w:rPr>
          <w:rFonts w:ascii="Arial" w:hAnsi="Arial" w:cs="Arial"/>
        </w:rPr>
      </w:pPr>
      <w:proofErr w:type="gramStart"/>
      <w:r w:rsidRPr="00883F3C">
        <w:rPr>
          <w:rFonts w:ascii="Arial" w:hAnsi="Arial" w:cs="Arial"/>
        </w:rPr>
        <w:t>Larson.A. (2003).</w:t>
      </w:r>
      <w:proofErr w:type="gramEnd"/>
      <w:r w:rsidRPr="00883F3C">
        <w:rPr>
          <w:rFonts w:ascii="Arial" w:hAnsi="Arial" w:cs="Arial"/>
        </w:rPr>
        <w:t xml:space="preserve"> </w:t>
      </w:r>
      <w:proofErr w:type="gramStart"/>
      <w:r w:rsidRPr="00883F3C">
        <w:rPr>
          <w:rFonts w:ascii="Arial" w:hAnsi="Arial" w:cs="Arial"/>
        </w:rPr>
        <w:t>Negligence and Tort Law.</w:t>
      </w:r>
      <w:proofErr w:type="gramEnd"/>
      <w:r w:rsidRPr="00883F3C">
        <w:rPr>
          <w:rFonts w:ascii="Arial" w:hAnsi="Arial" w:cs="Arial"/>
        </w:rPr>
        <w:t xml:space="preserve"> Retrieved from http://www.expertlaw.com/library/personal_injury/negligence.html</w:t>
      </w:r>
    </w:p>
    <w:p w:rsidR="00883F3C" w:rsidRPr="00883F3C" w:rsidRDefault="00883F3C" w:rsidP="006C08B9">
      <w:pPr>
        <w:ind w:left="360"/>
        <w:rPr>
          <w:rFonts w:ascii="Arial" w:hAnsi="Arial" w:cs="Arial"/>
        </w:rPr>
      </w:pPr>
    </w:p>
    <w:p w:rsidR="00883F3C" w:rsidRPr="00883F3C" w:rsidRDefault="00883F3C" w:rsidP="006C08B9">
      <w:pPr>
        <w:ind w:left="360"/>
        <w:rPr>
          <w:rFonts w:ascii="Arial" w:hAnsi="Arial" w:cs="Arial"/>
        </w:rPr>
      </w:pPr>
      <w:proofErr w:type="gramStart"/>
      <w:r w:rsidRPr="00883F3C">
        <w:rPr>
          <w:rFonts w:ascii="Arial" w:hAnsi="Arial" w:cs="Arial"/>
        </w:rPr>
        <w:t>Clarke.J. (2010).</w:t>
      </w:r>
      <w:proofErr w:type="gramEnd"/>
      <w:r w:rsidRPr="00883F3C">
        <w:rPr>
          <w:rFonts w:ascii="Arial" w:hAnsi="Arial" w:cs="Arial"/>
        </w:rPr>
        <w:t xml:space="preserve"> Consideration. Retrieved from http://www.australiancontractlaw.com/law/formation-consideration.html</w:t>
      </w:r>
    </w:p>
    <w:p w:rsidR="00074ED8" w:rsidRDefault="00074ED8" w:rsidP="00074ED8">
      <w:pPr>
        <w:ind w:left="360"/>
      </w:pPr>
    </w:p>
    <w:p w:rsidR="001374A0" w:rsidRDefault="001374A0"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bookmarkStart w:id="0" w:name="_GoBack"/>
      <w:bookmarkEnd w:id="0"/>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p w:rsidR="00C514BD" w:rsidRDefault="00C514BD" w:rsidP="007C6CD8">
      <w:pPr>
        <w:ind w:left="360"/>
      </w:pPr>
    </w:p>
    <w:sectPr w:rsidR="00C514BD" w:rsidSect="006B451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5888"/>
    <w:multiLevelType w:val="hybridMultilevel"/>
    <w:tmpl w:val="B15CC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CD8"/>
    <w:rsid w:val="0004566F"/>
    <w:rsid w:val="00074ED8"/>
    <w:rsid w:val="001374A0"/>
    <w:rsid w:val="0017789F"/>
    <w:rsid w:val="00182DC7"/>
    <w:rsid w:val="00193051"/>
    <w:rsid w:val="001C26B4"/>
    <w:rsid w:val="002611FE"/>
    <w:rsid w:val="00277C06"/>
    <w:rsid w:val="004B0B01"/>
    <w:rsid w:val="004C7C42"/>
    <w:rsid w:val="00503328"/>
    <w:rsid w:val="00591D4D"/>
    <w:rsid w:val="00595FD6"/>
    <w:rsid w:val="00596D0E"/>
    <w:rsid w:val="005A2AC9"/>
    <w:rsid w:val="005C5CB9"/>
    <w:rsid w:val="005C5D70"/>
    <w:rsid w:val="005E26F6"/>
    <w:rsid w:val="00625833"/>
    <w:rsid w:val="00677B88"/>
    <w:rsid w:val="006B451E"/>
    <w:rsid w:val="006C08B9"/>
    <w:rsid w:val="0076371C"/>
    <w:rsid w:val="007C6CD8"/>
    <w:rsid w:val="007D09F5"/>
    <w:rsid w:val="00836F3C"/>
    <w:rsid w:val="0085377F"/>
    <w:rsid w:val="00883F3C"/>
    <w:rsid w:val="008A5240"/>
    <w:rsid w:val="008C6471"/>
    <w:rsid w:val="0092243B"/>
    <w:rsid w:val="00960448"/>
    <w:rsid w:val="00A139A0"/>
    <w:rsid w:val="00AB2DB1"/>
    <w:rsid w:val="00B34073"/>
    <w:rsid w:val="00B97408"/>
    <w:rsid w:val="00BA5FF6"/>
    <w:rsid w:val="00BB1F63"/>
    <w:rsid w:val="00BE6BF0"/>
    <w:rsid w:val="00BE7F44"/>
    <w:rsid w:val="00C169E7"/>
    <w:rsid w:val="00C40E94"/>
    <w:rsid w:val="00C514BD"/>
    <w:rsid w:val="00C610F2"/>
    <w:rsid w:val="00CA7864"/>
    <w:rsid w:val="00D025F8"/>
    <w:rsid w:val="00D0407A"/>
    <w:rsid w:val="00D7545B"/>
    <w:rsid w:val="00DC1E83"/>
    <w:rsid w:val="00DD62BB"/>
    <w:rsid w:val="00DE716F"/>
    <w:rsid w:val="00E2145C"/>
    <w:rsid w:val="00E2375B"/>
    <w:rsid w:val="00E67234"/>
    <w:rsid w:val="00E87958"/>
    <w:rsid w:val="00FF2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E44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CD8"/>
    <w:pPr>
      <w:ind w:left="720"/>
      <w:contextualSpacing/>
    </w:pPr>
  </w:style>
  <w:style w:type="character" w:styleId="Hyperlink">
    <w:name w:val="Hyperlink"/>
    <w:basedOn w:val="DefaultParagraphFont"/>
    <w:uiPriority w:val="99"/>
    <w:unhideWhenUsed/>
    <w:rsid w:val="00883F3C"/>
    <w:rPr>
      <w:color w:val="0000FF" w:themeColor="hyperlink"/>
      <w:u w:val="single"/>
    </w:rPr>
  </w:style>
  <w:style w:type="paragraph" w:styleId="NoSpacing">
    <w:name w:val="No Spacing"/>
    <w:link w:val="NoSpacingChar"/>
    <w:uiPriority w:val="1"/>
    <w:qFormat/>
    <w:rsid w:val="004B0B01"/>
    <w:rPr>
      <w:sz w:val="22"/>
      <w:szCs w:val="22"/>
    </w:rPr>
  </w:style>
  <w:style w:type="character" w:customStyle="1" w:styleId="NoSpacingChar">
    <w:name w:val="No Spacing Char"/>
    <w:basedOn w:val="DefaultParagraphFont"/>
    <w:link w:val="NoSpacing"/>
    <w:uiPriority w:val="1"/>
    <w:rsid w:val="004B0B01"/>
    <w:rPr>
      <w:sz w:val="22"/>
      <w:szCs w:val="22"/>
    </w:rPr>
  </w:style>
  <w:style w:type="paragraph" w:styleId="BalloonText">
    <w:name w:val="Balloon Text"/>
    <w:basedOn w:val="Normal"/>
    <w:link w:val="BalloonTextChar"/>
    <w:uiPriority w:val="99"/>
    <w:semiHidden/>
    <w:unhideWhenUsed/>
    <w:rsid w:val="00C514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4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CD8"/>
    <w:pPr>
      <w:ind w:left="720"/>
      <w:contextualSpacing/>
    </w:pPr>
  </w:style>
  <w:style w:type="character" w:styleId="Hyperlink">
    <w:name w:val="Hyperlink"/>
    <w:basedOn w:val="DefaultParagraphFont"/>
    <w:uiPriority w:val="99"/>
    <w:unhideWhenUsed/>
    <w:rsid w:val="00883F3C"/>
    <w:rPr>
      <w:color w:val="0000FF" w:themeColor="hyperlink"/>
      <w:u w:val="single"/>
    </w:rPr>
  </w:style>
  <w:style w:type="paragraph" w:styleId="NoSpacing">
    <w:name w:val="No Spacing"/>
    <w:link w:val="NoSpacingChar"/>
    <w:uiPriority w:val="1"/>
    <w:qFormat/>
    <w:rsid w:val="004B0B01"/>
    <w:rPr>
      <w:sz w:val="22"/>
      <w:szCs w:val="22"/>
    </w:rPr>
  </w:style>
  <w:style w:type="character" w:customStyle="1" w:styleId="NoSpacingChar">
    <w:name w:val="No Spacing Char"/>
    <w:basedOn w:val="DefaultParagraphFont"/>
    <w:link w:val="NoSpacing"/>
    <w:uiPriority w:val="1"/>
    <w:rsid w:val="004B0B01"/>
    <w:rPr>
      <w:sz w:val="22"/>
      <w:szCs w:val="22"/>
    </w:rPr>
  </w:style>
  <w:style w:type="paragraph" w:styleId="BalloonText">
    <w:name w:val="Balloon Text"/>
    <w:basedOn w:val="Normal"/>
    <w:link w:val="BalloonTextChar"/>
    <w:uiPriority w:val="99"/>
    <w:semiHidden/>
    <w:unhideWhenUsed/>
    <w:rsid w:val="00C514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4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ome.loxfordlaw.co.uk/unit2/notes-on-tort-of-negligen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1497</Words>
  <Characters>8533</Characters>
  <Application>Microsoft Macintosh Word</Application>
  <DocSecurity>0</DocSecurity>
  <Lines>71</Lines>
  <Paragraphs>20</Paragraphs>
  <ScaleCrop>false</ScaleCrop>
  <Company/>
  <LinksUpToDate>false</LinksUpToDate>
  <CharactersWithSpaces>10010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Maybelle Tay </dc:creator>
  <cp:keywords/>
  <dc:description/>
  <cp:lastModifiedBy>Serena</cp:lastModifiedBy>
  <cp:revision>2</cp:revision>
  <dcterms:created xsi:type="dcterms:W3CDTF">2014-04-16T09:08:00Z</dcterms:created>
  <dcterms:modified xsi:type="dcterms:W3CDTF">2014-04-16T09:08:00Z</dcterms:modified>
</cp:coreProperties>
</file>