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28" w:type="dxa"/>
        <w:tblLook w:val="00A0" w:firstRow="1" w:lastRow="0" w:firstColumn="1" w:lastColumn="0" w:noHBand="0" w:noVBand="0"/>
      </w:tblPr>
      <w:tblGrid>
        <w:gridCol w:w="3828"/>
        <w:gridCol w:w="5400"/>
      </w:tblGrid>
      <w:tr w:rsidR="005D1AEA" w:rsidRPr="00882A35" w:rsidTr="00A4301D">
        <w:tc>
          <w:tcPr>
            <w:tcW w:w="3828" w:type="dxa"/>
            <w:shd w:val="solid" w:color="404040" w:fill="auto"/>
            <w:vAlign w:val="center"/>
          </w:tcPr>
          <w:p w:rsidR="005D1AEA" w:rsidRPr="00882A35" w:rsidRDefault="005D1AEA" w:rsidP="00A4301D">
            <w:pPr>
              <w:ind w:left="357"/>
              <w:jc w:val="both"/>
              <w:rPr>
                <w:rFonts w:ascii="Palatino Linotype" w:hAnsi="Palatino Linotype" w:cs="Palatino Linotype"/>
                <w:b/>
                <w:bCs/>
                <w:sz w:val="20"/>
                <w:szCs w:val="20"/>
              </w:rPr>
            </w:pPr>
            <w:r w:rsidRPr="00882A35">
              <w:rPr>
                <w:rFonts w:ascii="Arial" w:hAnsi="Arial" w:cs="Arial"/>
                <w:b/>
                <w:bCs/>
                <w:color w:val="FFFFFF"/>
                <w:sz w:val="36"/>
                <w:szCs w:val="36"/>
              </w:rPr>
              <w:t>ELECTRONIC ASSIGNMENT COVERSHEET</w:t>
            </w:r>
          </w:p>
        </w:tc>
        <w:tc>
          <w:tcPr>
            <w:tcW w:w="5400" w:type="dxa"/>
            <w:shd w:val="clear" w:color="404040" w:fill="auto"/>
          </w:tcPr>
          <w:p w:rsidR="005D1AEA" w:rsidRPr="00882A35" w:rsidRDefault="005D1AEA" w:rsidP="00A4301D">
            <w:pPr>
              <w:spacing w:before="160" w:after="120"/>
              <w:jc w:val="right"/>
              <w:rPr>
                <w:sz w:val="36"/>
                <w:szCs w:val="36"/>
              </w:rPr>
            </w:pPr>
            <w:r>
              <w:rPr>
                <w:noProof/>
                <w:sz w:val="36"/>
                <w:szCs w:val="36"/>
              </w:rPr>
              <w:drawing>
                <wp:inline distT="0" distB="0" distL="0" distR="0" wp14:anchorId="5B7016B9" wp14:editId="7624A1C1">
                  <wp:extent cx="2743200" cy="631190"/>
                  <wp:effectExtent l="0" t="0" r="0" b="3810"/>
                  <wp:docPr id="1" name="Picture 1" descr="Description: Murdoch_land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urdoch_land_RG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631190"/>
                          </a:xfrm>
                          <a:prstGeom prst="rect">
                            <a:avLst/>
                          </a:prstGeom>
                          <a:noFill/>
                          <a:ln>
                            <a:noFill/>
                          </a:ln>
                        </pic:spPr>
                      </pic:pic>
                    </a:graphicData>
                  </a:graphic>
                </wp:inline>
              </w:drawing>
            </w:r>
          </w:p>
        </w:tc>
      </w:tr>
    </w:tbl>
    <w:p w:rsidR="005D1AEA" w:rsidRPr="00A648B9" w:rsidRDefault="005D1AEA" w:rsidP="005D1AEA">
      <w:pPr>
        <w:pStyle w:val="BodyText"/>
      </w:pPr>
    </w:p>
    <w:tbl>
      <w:tblPr>
        <w:tblW w:w="9240"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6360"/>
      </w:tblGrid>
      <w:tr w:rsidR="005D1AEA" w:rsidRPr="00882A35" w:rsidTr="00A4301D">
        <w:tc>
          <w:tcPr>
            <w:tcW w:w="2880" w:type="dxa"/>
            <w:tcBorders>
              <w:top w:val="single" w:sz="2" w:space="0" w:color="808080"/>
              <w:left w:val="single" w:sz="2" w:space="0" w:color="808080"/>
              <w:bottom w:val="single" w:sz="2" w:space="0" w:color="808080"/>
              <w:right w:val="single" w:sz="2" w:space="0" w:color="808080"/>
            </w:tcBorders>
            <w:vAlign w:val="center"/>
          </w:tcPr>
          <w:p w:rsidR="005D1AEA" w:rsidRPr="00882A35" w:rsidRDefault="005D1AEA" w:rsidP="00A4301D">
            <w:pPr>
              <w:pStyle w:val="BodyText"/>
              <w:jc w:val="right"/>
              <w:rPr>
                <w:rFonts w:ascii="Palatino Linotype" w:hAnsi="Palatino Linotype" w:cs="Palatino Linotype"/>
                <w:sz w:val="36"/>
                <w:szCs w:val="36"/>
              </w:rPr>
            </w:pPr>
            <w:r w:rsidRPr="00882A35">
              <w:rPr>
                <w:sz w:val="36"/>
                <w:szCs w:val="36"/>
              </w:rPr>
              <w:t>Student Number</w:t>
            </w:r>
          </w:p>
        </w:tc>
        <w:tc>
          <w:tcPr>
            <w:tcW w:w="6360" w:type="dxa"/>
            <w:tcBorders>
              <w:top w:val="single" w:sz="2" w:space="0" w:color="808080"/>
              <w:left w:val="single" w:sz="2" w:space="0" w:color="808080"/>
              <w:bottom w:val="single" w:sz="2" w:space="0" w:color="808080"/>
              <w:right w:val="single" w:sz="2" w:space="0" w:color="808080"/>
            </w:tcBorders>
            <w:vAlign w:val="center"/>
          </w:tcPr>
          <w:p w:rsidR="005D1AEA" w:rsidRPr="00882A35" w:rsidRDefault="005D1AEA" w:rsidP="00A4301D">
            <w:pPr>
              <w:pStyle w:val="BodyText"/>
              <w:rPr>
                <w:szCs w:val="36"/>
              </w:rPr>
            </w:pPr>
            <w:r>
              <w:rPr>
                <w:szCs w:val="36"/>
              </w:rPr>
              <w:t>32041865</w:t>
            </w:r>
          </w:p>
        </w:tc>
      </w:tr>
      <w:tr w:rsidR="005D1AEA" w:rsidRPr="00882A35" w:rsidTr="00A4301D">
        <w:tc>
          <w:tcPr>
            <w:tcW w:w="2880" w:type="dxa"/>
            <w:tcBorders>
              <w:top w:val="single" w:sz="2" w:space="0" w:color="808080"/>
              <w:left w:val="single" w:sz="2" w:space="0" w:color="808080"/>
              <w:bottom w:val="single" w:sz="2" w:space="0" w:color="808080"/>
              <w:right w:val="single" w:sz="2" w:space="0" w:color="808080"/>
            </w:tcBorders>
            <w:vAlign w:val="center"/>
          </w:tcPr>
          <w:p w:rsidR="005D1AEA" w:rsidRPr="00882A35" w:rsidRDefault="005D1AEA" w:rsidP="00A4301D">
            <w:pPr>
              <w:pStyle w:val="BodyText"/>
              <w:jc w:val="right"/>
              <w:rPr>
                <w:rFonts w:ascii="Palatino Linotype" w:hAnsi="Palatino Linotype" w:cs="Palatino Linotype"/>
              </w:rPr>
            </w:pPr>
            <w:r w:rsidRPr="00171074">
              <w:t>Surname</w:t>
            </w:r>
          </w:p>
        </w:tc>
        <w:tc>
          <w:tcPr>
            <w:tcW w:w="6360" w:type="dxa"/>
            <w:tcBorders>
              <w:top w:val="single" w:sz="2" w:space="0" w:color="808080"/>
              <w:left w:val="single" w:sz="2" w:space="0" w:color="808080"/>
              <w:bottom w:val="single" w:sz="2" w:space="0" w:color="808080"/>
              <w:right w:val="single" w:sz="2" w:space="0" w:color="808080"/>
            </w:tcBorders>
            <w:vAlign w:val="center"/>
          </w:tcPr>
          <w:p w:rsidR="005D1AEA" w:rsidRPr="00171074" w:rsidRDefault="005D1AEA" w:rsidP="00A4301D">
            <w:pPr>
              <w:pStyle w:val="BodyText"/>
            </w:pPr>
            <w:r>
              <w:t>Tay</w:t>
            </w:r>
          </w:p>
        </w:tc>
      </w:tr>
      <w:tr w:rsidR="005D1AEA" w:rsidRPr="00882A35" w:rsidTr="00A4301D">
        <w:tc>
          <w:tcPr>
            <w:tcW w:w="2880" w:type="dxa"/>
            <w:tcBorders>
              <w:top w:val="single" w:sz="2" w:space="0" w:color="808080"/>
              <w:left w:val="single" w:sz="2" w:space="0" w:color="808080"/>
              <w:bottom w:val="single" w:sz="2" w:space="0" w:color="808080"/>
              <w:right w:val="single" w:sz="2" w:space="0" w:color="808080"/>
            </w:tcBorders>
            <w:vAlign w:val="center"/>
          </w:tcPr>
          <w:p w:rsidR="005D1AEA" w:rsidRPr="00171074" w:rsidRDefault="005D1AEA" w:rsidP="00A4301D">
            <w:pPr>
              <w:pStyle w:val="BodyText"/>
              <w:jc w:val="right"/>
            </w:pPr>
            <w:r w:rsidRPr="00171074">
              <w:t>Given name</w:t>
            </w:r>
          </w:p>
        </w:tc>
        <w:tc>
          <w:tcPr>
            <w:tcW w:w="6360" w:type="dxa"/>
            <w:tcBorders>
              <w:top w:val="single" w:sz="2" w:space="0" w:color="808080"/>
              <w:left w:val="single" w:sz="2" w:space="0" w:color="808080"/>
              <w:bottom w:val="single" w:sz="2" w:space="0" w:color="808080"/>
              <w:right w:val="single" w:sz="2" w:space="0" w:color="808080"/>
            </w:tcBorders>
            <w:vAlign w:val="center"/>
          </w:tcPr>
          <w:p w:rsidR="005D1AEA" w:rsidRPr="00171074" w:rsidRDefault="005D1AEA" w:rsidP="00A4301D">
            <w:pPr>
              <w:pStyle w:val="BodyText"/>
            </w:pPr>
            <w:r>
              <w:t>Serena Maybelle</w:t>
            </w:r>
          </w:p>
        </w:tc>
      </w:tr>
      <w:tr w:rsidR="005D1AEA" w:rsidRPr="00882A35" w:rsidTr="00A4301D">
        <w:tc>
          <w:tcPr>
            <w:tcW w:w="2880" w:type="dxa"/>
            <w:tcBorders>
              <w:top w:val="single" w:sz="2" w:space="0" w:color="808080"/>
              <w:left w:val="single" w:sz="2" w:space="0" w:color="808080"/>
              <w:bottom w:val="single" w:sz="2" w:space="0" w:color="808080"/>
              <w:right w:val="single" w:sz="2" w:space="0" w:color="808080"/>
            </w:tcBorders>
            <w:vAlign w:val="center"/>
          </w:tcPr>
          <w:p w:rsidR="005D1AEA" w:rsidRPr="00882A35" w:rsidRDefault="005D1AEA" w:rsidP="00A4301D">
            <w:pPr>
              <w:pStyle w:val="BodyText"/>
              <w:jc w:val="right"/>
              <w:rPr>
                <w:rFonts w:ascii="Palatino Linotype" w:hAnsi="Palatino Linotype" w:cs="Palatino Linotype"/>
              </w:rPr>
            </w:pPr>
            <w:r w:rsidRPr="00171074">
              <w:t>Email</w:t>
            </w:r>
          </w:p>
        </w:tc>
        <w:tc>
          <w:tcPr>
            <w:tcW w:w="6360" w:type="dxa"/>
            <w:tcBorders>
              <w:top w:val="single" w:sz="2" w:space="0" w:color="808080"/>
              <w:left w:val="single" w:sz="2" w:space="0" w:color="808080"/>
              <w:bottom w:val="single" w:sz="2" w:space="0" w:color="808080"/>
              <w:right w:val="single" w:sz="2" w:space="0" w:color="808080"/>
            </w:tcBorders>
            <w:vAlign w:val="center"/>
          </w:tcPr>
          <w:p w:rsidR="005D1AEA" w:rsidRPr="00171074" w:rsidRDefault="005D1AEA" w:rsidP="00A4301D">
            <w:pPr>
              <w:pStyle w:val="BodyText"/>
            </w:pPr>
            <w:r>
              <w:t>serenamtay@gmail.com</w:t>
            </w:r>
          </w:p>
        </w:tc>
      </w:tr>
      <w:tr w:rsidR="005D1AEA" w:rsidRPr="00882A35" w:rsidTr="00A4301D">
        <w:trPr>
          <w:trHeight w:val="78"/>
        </w:trPr>
        <w:tc>
          <w:tcPr>
            <w:tcW w:w="2880" w:type="dxa"/>
            <w:tcBorders>
              <w:top w:val="single" w:sz="2" w:space="0" w:color="808080"/>
              <w:left w:val="nil"/>
              <w:bottom w:val="single" w:sz="2" w:space="0" w:color="808080"/>
              <w:right w:val="nil"/>
            </w:tcBorders>
            <w:vAlign w:val="center"/>
          </w:tcPr>
          <w:p w:rsidR="005D1AEA" w:rsidRPr="00882A35" w:rsidRDefault="005D1AEA" w:rsidP="00A4301D">
            <w:pPr>
              <w:pStyle w:val="BodyText"/>
              <w:jc w:val="right"/>
              <w:rPr>
                <w:sz w:val="18"/>
                <w:szCs w:val="18"/>
              </w:rPr>
            </w:pPr>
          </w:p>
        </w:tc>
        <w:tc>
          <w:tcPr>
            <w:tcW w:w="6360" w:type="dxa"/>
            <w:tcBorders>
              <w:top w:val="single" w:sz="2" w:space="0" w:color="808080"/>
              <w:left w:val="nil"/>
              <w:bottom w:val="single" w:sz="2" w:space="0" w:color="808080"/>
              <w:right w:val="nil"/>
            </w:tcBorders>
            <w:vAlign w:val="center"/>
          </w:tcPr>
          <w:p w:rsidR="005D1AEA" w:rsidRPr="00882A35" w:rsidRDefault="005D1AEA" w:rsidP="00A4301D">
            <w:pPr>
              <w:pStyle w:val="BodyText"/>
              <w:rPr>
                <w:sz w:val="18"/>
                <w:szCs w:val="18"/>
              </w:rPr>
            </w:pPr>
          </w:p>
        </w:tc>
      </w:tr>
      <w:tr w:rsidR="005D1AEA" w:rsidRPr="00882A35" w:rsidTr="00A4301D">
        <w:tc>
          <w:tcPr>
            <w:tcW w:w="2880" w:type="dxa"/>
            <w:tcBorders>
              <w:top w:val="single" w:sz="2" w:space="0" w:color="808080"/>
              <w:left w:val="single" w:sz="2" w:space="0" w:color="808080"/>
              <w:bottom w:val="single" w:sz="2" w:space="0" w:color="808080"/>
              <w:right w:val="single" w:sz="2" w:space="0" w:color="808080"/>
            </w:tcBorders>
            <w:vAlign w:val="center"/>
          </w:tcPr>
          <w:p w:rsidR="005D1AEA" w:rsidRPr="00882A35" w:rsidRDefault="005D1AEA" w:rsidP="00A4301D">
            <w:pPr>
              <w:pStyle w:val="BodyText"/>
              <w:jc w:val="right"/>
              <w:rPr>
                <w:rFonts w:ascii="Palatino Linotype" w:hAnsi="Palatino Linotype" w:cs="Palatino Linotype"/>
                <w:sz w:val="36"/>
                <w:szCs w:val="36"/>
              </w:rPr>
            </w:pPr>
            <w:r w:rsidRPr="00882A35">
              <w:rPr>
                <w:sz w:val="36"/>
                <w:szCs w:val="36"/>
              </w:rPr>
              <w:t>Unit Code</w:t>
            </w:r>
          </w:p>
        </w:tc>
        <w:tc>
          <w:tcPr>
            <w:tcW w:w="6360" w:type="dxa"/>
            <w:tcBorders>
              <w:top w:val="single" w:sz="2" w:space="0" w:color="808080"/>
              <w:left w:val="single" w:sz="2" w:space="0" w:color="808080"/>
              <w:bottom w:val="single" w:sz="2" w:space="0" w:color="808080"/>
              <w:right w:val="single" w:sz="2" w:space="0" w:color="808080"/>
            </w:tcBorders>
            <w:vAlign w:val="center"/>
          </w:tcPr>
          <w:p w:rsidR="005D1AEA" w:rsidRPr="00882A35" w:rsidRDefault="005D1AEA" w:rsidP="00A4301D">
            <w:pPr>
              <w:pStyle w:val="BodyText"/>
              <w:rPr>
                <w:szCs w:val="36"/>
                <w:lang w:eastAsia="zh-CN"/>
              </w:rPr>
            </w:pPr>
            <w:r>
              <w:rPr>
                <w:rFonts w:hint="eastAsia"/>
                <w:szCs w:val="36"/>
                <w:lang w:eastAsia="zh-CN"/>
              </w:rPr>
              <w:t xml:space="preserve">BUS223G </w:t>
            </w:r>
          </w:p>
        </w:tc>
      </w:tr>
      <w:tr w:rsidR="005D1AEA" w:rsidRPr="00882A35" w:rsidTr="00A4301D">
        <w:tc>
          <w:tcPr>
            <w:tcW w:w="2880" w:type="dxa"/>
            <w:tcBorders>
              <w:top w:val="single" w:sz="2" w:space="0" w:color="808080"/>
              <w:left w:val="single" w:sz="2" w:space="0" w:color="808080"/>
              <w:bottom w:val="single" w:sz="2" w:space="0" w:color="808080"/>
              <w:right w:val="single" w:sz="2" w:space="0" w:color="808080"/>
            </w:tcBorders>
          </w:tcPr>
          <w:p w:rsidR="005D1AEA" w:rsidRPr="00882A35" w:rsidRDefault="005D1AEA" w:rsidP="00A4301D">
            <w:pPr>
              <w:pStyle w:val="BodyText"/>
              <w:jc w:val="right"/>
              <w:rPr>
                <w:rFonts w:ascii="Palatino Linotype" w:hAnsi="Palatino Linotype" w:cs="Palatino Linotype"/>
              </w:rPr>
            </w:pPr>
            <w:r w:rsidRPr="00171074">
              <w:t>Unit name</w:t>
            </w:r>
          </w:p>
        </w:tc>
        <w:tc>
          <w:tcPr>
            <w:tcW w:w="6360" w:type="dxa"/>
            <w:tcBorders>
              <w:top w:val="single" w:sz="2" w:space="0" w:color="808080"/>
              <w:left w:val="single" w:sz="2" w:space="0" w:color="808080"/>
              <w:bottom w:val="single" w:sz="2" w:space="0" w:color="808080"/>
              <w:right w:val="single" w:sz="2" w:space="0" w:color="808080"/>
            </w:tcBorders>
          </w:tcPr>
          <w:p w:rsidR="005D1AEA" w:rsidRPr="00171074" w:rsidRDefault="005D1AEA" w:rsidP="00A4301D">
            <w:pPr>
              <w:pStyle w:val="BodyText"/>
              <w:rPr>
                <w:lang w:eastAsia="zh-CN"/>
              </w:rPr>
            </w:pPr>
            <w:r>
              <w:rPr>
                <w:lang w:eastAsia="zh-CN"/>
              </w:rPr>
              <w:t xml:space="preserve">Organisational Theory and Behavior </w:t>
            </w:r>
          </w:p>
        </w:tc>
      </w:tr>
      <w:tr w:rsidR="005D1AEA" w:rsidRPr="00882A35" w:rsidTr="00A4301D">
        <w:tc>
          <w:tcPr>
            <w:tcW w:w="2880" w:type="dxa"/>
            <w:tcBorders>
              <w:top w:val="single" w:sz="2" w:space="0" w:color="808080"/>
              <w:left w:val="single" w:sz="2" w:space="0" w:color="808080"/>
              <w:bottom w:val="single" w:sz="2" w:space="0" w:color="808080"/>
              <w:right w:val="single" w:sz="2" w:space="0" w:color="808080"/>
            </w:tcBorders>
          </w:tcPr>
          <w:p w:rsidR="005D1AEA" w:rsidRPr="00171074" w:rsidRDefault="005D1AEA" w:rsidP="00A4301D">
            <w:pPr>
              <w:pStyle w:val="BodyText"/>
              <w:jc w:val="right"/>
            </w:pPr>
            <w:r w:rsidRPr="00171074">
              <w:t>Enrolment mode</w:t>
            </w:r>
          </w:p>
        </w:tc>
        <w:tc>
          <w:tcPr>
            <w:tcW w:w="6360" w:type="dxa"/>
            <w:tcBorders>
              <w:top w:val="single" w:sz="2" w:space="0" w:color="808080"/>
              <w:left w:val="single" w:sz="2" w:space="0" w:color="808080"/>
              <w:bottom w:val="single" w:sz="2" w:space="0" w:color="808080"/>
              <w:right w:val="single" w:sz="2" w:space="0" w:color="808080"/>
            </w:tcBorders>
          </w:tcPr>
          <w:p w:rsidR="005D1AEA" w:rsidRPr="00171074" w:rsidRDefault="005D1AEA" w:rsidP="00A4301D">
            <w:pPr>
              <w:pStyle w:val="BodyText"/>
            </w:pPr>
            <w:r>
              <w:t xml:space="preserve">External </w:t>
            </w:r>
          </w:p>
        </w:tc>
      </w:tr>
      <w:tr w:rsidR="005D1AEA" w:rsidRPr="00882A35" w:rsidTr="00A4301D">
        <w:tc>
          <w:tcPr>
            <w:tcW w:w="2880" w:type="dxa"/>
            <w:tcBorders>
              <w:top w:val="single" w:sz="2" w:space="0" w:color="808080"/>
              <w:left w:val="single" w:sz="2" w:space="0" w:color="808080"/>
              <w:bottom w:val="single" w:sz="4" w:space="0" w:color="808080"/>
              <w:right w:val="single" w:sz="2" w:space="0" w:color="808080"/>
            </w:tcBorders>
          </w:tcPr>
          <w:p w:rsidR="005D1AEA" w:rsidRPr="00171074" w:rsidRDefault="005D1AEA" w:rsidP="00A4301D">
            <w:pPr>
              <w:pStyle w:val="BodyText"/>
              <w:jc w:val="right"/>
            </w:pPr>
            <w:r w:rsidRPr="00171074">
              <w:t>Date</w:t>
            </w:r>
          </w:p>
        </w:tc>
        <w:tc>
          <w:tcPr>
            <w:tcW w:w="6360" w:type="dxa"/>
            <w:tcBorders>
              <w:top w:val="single" w:sz="2" w:space="0" w:color="808080"/>
              <w:left w:val="single" w:sz="2" w:space="0" w:color="808080"/>
              <w:bottom w:val="single" w:sz="4" w:space="0" w:color="808080"/>
              <w:right w:val="single" w:sz="2" w:space="0" w:color="808080"/>
            </w:tcBorders>
          </w:tcPr>
          <w:p w:rsidR="005D1AEA" w:rsidRPr="00171074" w:rsidRDefault="005D1AEA" w:rsidP="00A4301D">
            <w:pPr>
              <w:pStyle w:val="BodyText"/>
              <w:rPr>
                <w:lang w:eastAsia="zh-CN"/>
              </w:rPr>
            </w:pPr>
            <w:r>
              <w:rPr>
                <w:lang w:eastAsia="zh-CN"/>
              </w:rPr>
              <w:t>30</w:t>
            </w:r>
            <w:r w:rsidRPr="005D1AEA">
              <w:rPr>
                <w:vertAlign w:val="superscript"/>
                <w:lang w:eastAsia="zh-CN"/>
              </w:rPr>
              <w:t>th</w:t>
            </w:r>
            <w:r>
              <w:rPr>
                <w:lang w:eastAsia="zh-CN"/>
              </w:rPr>
              <w:t xml:space="preserve"> May 2014</w:t>
            </w:r>
          </w:p>
        </w:tc>
      </w:tr>
      <w:tr w:rsidR="005D1AEA" w:rsidRPr="00882A35" w:rsidTr="00A4301D">
        <w:tc>
          <w:tcPr>
            <w:tcW w:w="2880" w:type="dxa"/>
            <w:tcBorders>
              <w:top w:val="single" w:sz="4" w:space="0" w:color="808080"/>
              <w:left w:val="single" w:sz="4" w:space="0" w:color="808080"/>
              <w:bottom w:val="single" w:sz="4" w:space="0" w:color="808080"/>
              <w:right w:val="single" w:sz="4" w:space="0" w:color="808080"/>
            </w:tcBorders>
          </w:tcPr>
          <w:p w:rsidR="005D1AEA" w:rsidRPr="00882A35" w:rsidRDefault="005D1AEA" w:rsidP="00A4301D">
            <w:pPr>
              <w:pStyle w:val="BodyText"/>
              <w:jc w:val="right"/>
              <w:rPr>
                <w:rFonts w:ascii="Palatino Linotype" w:hAnsi="Palatino Linotype" w:cs="Palatino Linotype"/>
              </w:rPr>
            </w:pPr>
            <w:r w:rsidRPr="0072794D">
              <w:t>Assignment number</w:t>
            </w:r>
          </w:p>
        </w:tc>
        <w:tc>
          <w:tcPr>
            <w:tcW w:w="6360" w:type="dxa"/>
            <w:tcBorders>
              <w:top w:val="single" w:sz="4" w:space="0" w:color="808080"/>
              <w:left w:val="single" w:sz="4" w:space="0" w:color="808080"/>
              <w:bottom w:val="single" w:sz="4" w:space="0" w:color="808080"/>
              <w:right w:val="single" w:sz="4" w:space="0" w:color="808080"/>
            </w:tcBorders>
          </w:tcPr>
          <w:p w:rsidR="005D1AEA" w:rsidRPr="0072794D" w:rsidRDefault="005D1AEA" w:rsidP="00A4301D">
            <w:pPr>
              <w:pStyle w:val="BodyText"/>
              <w:rPr>
                <w:lang w:eastAsia="zh-CN"/>
              </w:rPr>
            </w:pPr>
            <w:r>
              <w:rPr>
                <w:rFonts w:hint="eastAsia"/>
                <w:lang w:eastAsia="zh-CN"/>
              </w:rPr>
              <w:t>1</w:t>
            </w:r>
          </w:p>
        </w:tc>
      </w:tr>
      <w:tr w:rsidR="005D1AEA" w:rsidRPr="00882A35" w:rsidTr="00A4301D">
        <w:tc>
          <w:tcPr>
            <w:tcW w:w="2880" w:type="dxa"/>
            <w:tcBorders>
              <w:top w:val="single" w:sz="4" w:space="0" w:color="808080"/>
              <w:left w:val="single" w:sz="4" w:space="0" w:color="808080"/>
              <w:bottom w:val="single" w:sz="4" w:space="0" w:color="808080"/>
              <w:right w:val="single" w:sz="4" w:space="0" w:color="808080"/>
            </w:tcBorders>
          </w:tcPr>
          <w:p w:rsidR="005D1AEA" w:rsidRPr="0072794D" w:rsidRDefault="005D1AEA" w:rsidP="00A4301D">
            <w:pPr>
              <w:pStyle w:val="BodyText"/>
              <w:jc w:val="right"/>
            </w:pPr>
            <w:r w:rsidRPr="0072794D">
              <w:t>Assignment name</w:t>
            </w:r>
          </w:p>
        </w:tc>
        <w:tc>
          <w:tcPr>
            <w:tcW w:w="6360" w:type="dxa"/>
            <w:tcBorders>
              <w:top w:val="single" w:sz="4" w:space="0" w:color="808080"/>
              <w:left w:val="single" w:sz="4" w:space="0" w:color="808080"/>
              <w:bottom w:val="single" w:sz="4" w:space="0" w:color="808080"/>
              <w:right w:val="single" w:sz="4" w:space="0" w:color="808080"/>
            </w:tcBorders>
          </w:tcPr>
          <w:p w:rsidR="005D1AEA" w:rsidRPr="0072794D" w:rsidRDefault="003E3864" w:rsidP="00A4301D">
            <w:pPr>
              <w:pStyle w:val="BodyText"/>
              <w:rPr>
                <w:lang w:eastAsia="zh-CN"/>
              </w:rPr>
            </w:pPr>
            <w:r>
              <w:rPr>
                <w:lang w:eastAsia="zh-CN"/>
              </w:rPr>
              <w:t xml:space="preserve">Individual Assignment </w:t>
            </w:r>
            <w:bookmarkStart w:id="0" w:name="_GoBack"/>
            <w:bookmarkEnd w:id="0"/>
          </w:p>
        </w:tc>
      </w:tr>
      <w:tr w:rsidR="005D1AEA" w:rsidRPr="00882A35" w:rsidTr="00A4301D">
        <w:tc>
          <w:tcPr>
            <w:tcW w:w="2880" w:type="dxa"/>
            <w:tcBorders>
              <w:top w:val="single" w:sz="4" w:space="0" w:color="808080"/>
              <w:left w:val="single" w:sz="4" w:space="0" w:color="808080"/>
              <w:bottom w:val="single" w:sz="2" w:space="0" w:color="808080"/>
              <w:right w:val="single" w:sz="4" w:space="0" w:color="808080"/>
            </w:tcBorders>
          </w:tcPr>
          <w:p w:rsidR="005D1AEA" w:rsidRPr="0072794D" w:rsidRDefault="005D1AEA" w:rsidP="00A4301D">
            <w:pPr>
              <w:pStyle w:val="BodyText"/>
              <w:jc w:val="right"/>
            </w:pPr>
            <w:r w:rsidRPr="0072794D">
              <w:t>Tutor</w:t>
            </w:r>
          </w:p>
        </w:tc>
        <w:tc>
          <w:tcPr>
            <w:tcW w:w="6360" w:type="dxa"/>
            <w:tcBorders>
              <w:top w:val="single" w:sz="4" w:space="0" w:color="808080"/>
              <w:left w:val="single" w:sz="4" w:space="0" w:color="808080"/>
              <w:bottom w:val="single" w:sz="2" w:space="0" w:color="808080"/>
              <w:right w:val="single" w:sz="4" w:space="0" w:color="808080"/>
            </w:tcBorders>
          </w:tcPr>
          <w:p w:rsidR="005D1AEA" w:rsidRPr="0072794D" w:rsidRDefault="00F47097" w:rsidP="00A4301D">
            <w:pPr>
              <w:pStyle w:val="BodyText"/>
              <w:rPr>
                <w:lang w:eastAsia="zh-CN"/>
              </w:rPr>
            </w:pPr>
            <w:r>
              <w:rPr>
                <w:lang w:eastAsia="zh-CN"/>
              </w:rPr>
              <w:t xml:space="preserve">Richard Chua </w:t>
            </w:r>
          </w:p>
        </w:tc>
      </w:tr>
    </w:tbl>
    <w:p w:rsidR="005D1AEA" w:rsidRPr="00A648B9" w:rsidRDefault="005D1AEA" w:rsidP="005D1AEA">
      <w:pPr>
        <w:pStyle w:val="BodyText"/>
      </w:pPr>
    </w:p>
    <w:tbl>
      <w:tblPr>
        <w:tblW w:w="9233" w:type="dxa"/>
        <w:tblLook w:val="00A0" w:firstRow="1" w:lastRow="0" w:firstColumn="1" w:lastColumn="0" w:noHBand="0" w:noVBand="0"/>
      </w:tblPr>
      <w:tblGrid>
        <w:gridCol w:w="9216"/>
        <w:gridCol w:w="17"/>
      </w:tblGrid>
      <w:tr w:rsidR="005D1AEA" w:rsidRPr="00882A35" w:rsidTr="00A4301D">
        <w:trPr>
          <w:gridAfter w:val="1"/>
          <w:wAfter w:w="17" w:type="dxa"/>
        </w:trPr>
        <w:tc>
          <w:tcPr>
            <w:tcW w:w="9216" w:type="dxa"/>
            <w:tcBorders>
              <w:top w:val="dotted" w:sz="4" w:space="0" w:color="auto"/>
              <w:left w:val="dotted" w:sz="4" w:space="0" w:color="auto"/>
              <w:bottom w:val="dotted" w:sz="4" w:space="0" w:color="auto"/>
              <w:right w:val="dotted" w:sz="4" w:space="0" w:color="auto"/>
            </w:tcBorders>
            <w:shd w:val="clear" w:color="auto" w:fill="E6E6E6"/>
          </w:tcPr>
          <w:p w:rsidR="005D1AEA" w:rsidRPr="00882A35" w:rsidRDefault="005D1AEA" w:rsidP="00A4301D">
            <w:pPr>
              <w:pStyle w:val="BodyText"/>
              <w:spacing w:before="60"/>
              <w:rPr>
                <w:sz w:val="36"/>
                <w:szCs w:val="36"/>
              </w:rPr>
            </w:pPr>
            <w:r w:rsidRPr="00882A35">
              <w:rPr>
                <w:sz w:val="36"/>
                <w:szCs w:val="36"/>
              </w:rPr>
              <w:t>Student’s Declaration:</w:t>
            </w:r>
          </w:p>
          <w:p w:rsidR="005D1AEA" w:rsidRPr="00882A35" w:rsidRDefault="005D1AEA" w:rsidP="00A4301D">
            <w:pPr>
              <w:pStyle w:val="BodyText"/>
              <w:tabs>
                <w:tab w:val="num" w:pos="480"/>
              </w:tabs>
              <w:ind w:left="480"/>
              <w:rPr>
                <w:sz w:val="20"/>
              </w:rPr>
            </w:pPr>
          </w:p>
          <w:p w:rsidR="005D1AEA" w:rsidRPr="00882A35" w:rsidRDefault="005D1AEA" w:rsidP="005D1AEA">
            <w:pPr>
              <w:pStyle w:val="BodyText"/>
              <w:numPr>
                <w:ilvl w:val="0"/>
                <w:numId w:val="2"/>
              </w:numPr>
              <w:tabs>
                <w:tab w:val="clear" w:pos="720"/>
                <w:tab w:val="num" w:pos="480"/>
              </w:tabs>
              <w:ind w:left="480"/>
              <w:rPr>
                <w:sz w:val="20"/>
              </w:rPr>
            </w:pPr>
            <w:r w:rsidRPr="00882A35">
              <w:rPr>
                <w:sz w:val="20"/>
              </w:rPr>
              <w:t>Except where indicated, the work I am submitting in this assignment is my own work and has not been submitted for assessment in another unit.</w:t>
            </w:r>
          </w:p>
          <w:p w:rsidR="005D1AEA" w:rsidRPr="00882A35" w:rsidRDefault="005D1AEA" w:rsidP="00A4301D">
            <w:pPr>
              <w:pStyle w:val="BodyText"/>
              <w:tabs>
                <w:tab w:val="num" w:pos="480"/>
              </w:tabs>
              <w:ind w:left="480"/>
              <w:rPr>
                <w:sz w:val="20"/>
              </w:rPr>
            </w:pPr>
          </w:p>
          <w:p w:rsidR="005D1AEA" w:rsidRPr="00882A35" w:rsidRDefault="005D1AEA" w:rsidP="005D1AEA">
            <w:pPr>
              <w:pStyle w:val="BodyText"/>
              <w:numPr>
                <w:ilvl w:val="0"/>
                <w:numId w:val="2"/>
              </w:numPr>
              <w:tabs>
                <w:tab w:val="clear" w:pos="720"/>
                <w:tab w:val="num" w:pos="480"/>
              </w:tabs>
              <w:ind w:left="480"/>
              <w:rPr>
                <w:sz w:val="20"/>
              </w:rPr>
            </w:pPr>
            <w:r w:rsidRPr="00882A35">
              <w:rPr>
                <w:sz w:val="20"/>
              </w:rPr>
              <w:t xml:space="preserve">This submission complies with Murdoch </w:t>
            </w:r>
            <w:bookmarkStart w:id="1" w:name="OLE_LINK4"/>
            <w:r w:rsidRPr="00882A35">
              <w:rPr>
                <w:sz w:val="20"/>
              </w:rPr>
              <w:t>University's academic integrity commitments</w:t>
            </w:r>
            <w:bookmarkEnd w:id="1"/>
            <w:r w:rsidRPr="00882A35">
              <w:rPr>
                <w:sz w:val="20"/>
              </w:rPr>
              <w:t>. I am aware that information about plagiarism and associated penalties can be found at http://www.murdoch.edu.au/teach/plagiarism/. If I have any doubts or queries about this, I am further aware that I can contact my Unit Coordinator prior to submitting the assignment.</w:t>
            </w:r>
          </w:p>
          <w:p w:rsidR="005D1AEA" w:rsidRPr="00882A35" w:rsidRDefault="005D1AEA" w:rsidP="00A4301D">
            <w:pPr>
              <w:pStyle w:val="BodyText"/>
              <w:tabs>
                <w:tab w:val="num" w:pos="480"/>
              </w:tabs>
              <w:ind w:left="480"/>
              <w:rPr>
                <w:sz w:val="20"/>
              </w:rPr>
            </w:pPr>
          </w:p>
          <w:p w:rsidR="005D1AEA" w:rsidRPr="00882A35" w:rsidRDefault="005D1AEA" w:rsidP="005D1AEA">
            <w:pPr>
              <w:pStyle w:val="BodyText"/>
              <w:numPr>
                <w:ilvl w:val="0"/>
                <w:numId w:val="2"/>
              </w:numPr>
              <w:tabs>
                <w:tab w:val="clear" w:pos="720"/>
                <w:tab w:val="num" w:pos="480"/>
              </w:tabs>
              <w:ind w:left="480"/>
              <w:rPr>
                <w:sz w:val="20"/>
              </w:rPr>
            </w:pPr>
            <w:r w:rsidRPr="00882A35">
              <w:rPr>
                <w:sz w:val="20"/>
              </w:rPr>
              <w:t>I acknowledge that the assessor of this assignment may, for the purpose of assessing this assignment:</w:t>
            </w:r>
          </w:p>
          <w:p w:rsidR="005D1AEA" w:rsidRPr="00882A35" w:rsidRDefault="005D1AEA" w:rsidP="005D1AEA">
            <w:pPr>
              <w:pStyle w:val="BodyText"/>
              <w:numPr>
                <w:ilvl w:val="1"/>
                <w:numId w:val="2"/>
              </w:numPr>
              <w:tabs>
                <w:tab w:val="clear" w:pos="1440"/>
              </w:tabs>
              <w:ind w:left="720" w:hanging="240"/>
              <w:rPr>
                <w:sz w:val="20"/>
              </w:rPr>
            </w:pPr>
            <w:proofErr w:type="gramStart"/>
            <w:r w:rsidRPr="00882A35">
              <w:rPr>
                <w:sz w:val="20"/>
              </w:rPr>
              <w:t>reproduce</w:t>
            </w:r>
            <w:proofErr w:type="gramEnd"/>
            <w:r w:rsidRPr="00882A35">
              <w:rPr>
                <w:sz w:val="20"/>
              </w:rPr>
              <w:t xml:space="preserve"> this assignment and provide a copy to another academic staff member; and/or</w:t>
            </w:r>
          </w:p>
          <w:p w:rsidR="005D1AEA" w:rsidRPr="00882A35" w:rsidRDefault="005D1AEA" w:rsidP="005D1AEA">
            <w:pPr>
              <w:pStyle w:val="BodyText"/>
              <w:numPr>
                <w:ilvl w:val="1"/>
                <w:numId w:val="2"/>
              </w:numPr>
              <w:tabs>
                <w:tab w:val="clear" w:pos="1440"/>
              </w:tabs>
              <w:ind w:left="720" w:hanging="240"/>
              <w:rPr>
                <w:sz w:val="20"/>
              </w:rPr>
            </w:pPr>
            <w:proofErr w:type="gramStart"/>
            <w:r w:rsidRPr="00882A35">
              <w:rPr>
                <w:sz w:val="20"/>
              </w:rPr>
              <w:t>submit</w:t>
            </w:r>
            <w:proofErr w:type="gramEnd"/>
            <w:r w:rsidRPr="00882A35">
              <w:rPr>
                <w:sz w:val="20"/>
              </w:rPr>
              <w:t xml:space="preserve"> a copy of this assignment to a plagiarism-checking service. This web-based service may retain a copy of this work for the sole purpose of subsequent plagiarism checking, but has a legal agreement with the University that it will not share or reproduce it in any form.</w:t>
            </w:r>
          </w:p>
          <w:p w:rsidR="005D1AEA" w:rsidRPr="00882A35" w:rsidRDefault="005D1AEA" w:rsidP="00A4301D">
            <w:pPr>
              <w:pStyle w:val="BodyText"/>
              <w:tabs>
                <w:tab w:val="num" w:pos="480"/>
              </w:tabs>
              <w:ind w:left="480"/>
              <w:rPr>
                <w:sz w:val="20"/>
              </w:rPr>
            </w:pPr>
          </w:p>
          <w:p w:rsidR="005D1AEA" w:rsidRPr="00882A35" w:rsidRDefault="005D1AEA" w:rsidP="005D1AEA">
            <w:pPr>
              <w:pStyle w:val="BodyText"/>
              <w:numPr>
                <w:ilvl w:val="0"/>
                <w:numId w:val="2"/>
              </w:numPr>
              <w:tabs>
                <w:tab w:val="clear" w:pos="720"/>
                <w:tab w:val="num" w:pos="480"/>
              </w:tabs>
              <w:ind w:left="480"/>
              <w:rPr>
                <w:sz w:val="20"/>
              </w:rPr>
            </w:pPr>
            <w:r w:rsidRPr="00882A35">
              <w:rPr>
                <w:sz w:val="20"/>
              </w:rPr>
              <w:t>I have retained a copy of this assignment.</w:t>
            </w:r>
          </w:p>
          <w:p w:rsidR="005D1AEA" w:rsidRPr="00882A35" w:rsidRDefault="005D1AEA" w:rsidP="00A4301D">
            <w:pPr>
              <w:pStyle w:val="BodyText"/>
              <w:tabs>
                <w:tab w:val="num" w:pos="480"/>
              </w:tabs>
              <w:ind w:left="480"/>
              <w:rPr>
                <w:sz w:val="20"/>
              </w:rPr>
            </w:pPr>
          </w:p>
          <w:p w:rsidR="005D1AEA" w:rsidRPr="00882A35" w:rsidRDefault="005D1AEA" w:rsidP="005D1AEA">
            <w:pPr>
              <w:pStyle w:val="BodyText"/>
              <w:numPr>
                <w:ilvl w:val="0"/>
                <w:numId w:val="2"/>
              </w:numPr>
              <w:tabs>
                <w:tab w:val="clear" w:pos="720"/>
                <w:tab w:val="num" w:pos="480"/>
              </w:tabs>
              <w:ind w:left="480"/>
              <w:rPr>
                <w:sz w:val="20"/>
              </w:rPr>
            </w:pPr>
            <w:r w:rsidRPr="00882A35">
              <w:rPr>
                <w:sz w:val="20"/>
              </w:rPr>
              <w:t>I will retain a copy of the notification of receipt of this assignment. If you have not received a receipt within three days, please check with your Unit Coordinator.</w:t>
            </w:r>
          </w:p>
          <w:p w:rsidR="005D1AEA" w:rsidRPr="00882A35" w:rsidRDefault="005D1AEA" w:rsidP="00A4301D">
            <w:pPr>
              <w:jc w:val="both"/>
              <w:rPr>
                <w:rFonts w:ascii="Arial" w:hAnsi="Arial" w:cs="Arial"/>
                <w:sz w:val="20"/>
                <w:szCs w:val="20"/>
              </w:rPr>
            </w:pPr>
          </w:p>
        </w:tc>
      </w:tr>
      <w:tr w:rsidR="005D1AEA" w:rsidRPr="00882A35" w:rsidTr="00A430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3"/>
        </w:trPr>
        <w:tc>
          <w:tcPr>
            <w:tcW w:w="9233" w:type="dxa"/>
            <w:gridSpan w:val="2"/>
            <w:tcBorders>
              <w:top w:val="single" w:sz="2" w:space="0" w:color="808080"/>
              <w:left w:val="single" w:sz="2" w:space="0" w:color="808080"/>
              <w:bottom w:val="single" w:sz="2" w:space="0" w:color="808080"/>
              <w:right w:val="single" w:sz="2" w:space="0" w:color="808080"/>
            </w:tcBorders>
            <w:vAlign w:val="center"/>
          </w:tcPr>
          <w:p w:rsidR="005D1AEA" w:rsidRPr="00284E3A" w:rsidRDefault="005D1AEA" w:rsidP="00A4301D">
            <w:pPr>
              <w:pStyle w:val="BodyText"/>
            </w:pPr>
          </w:p>
          <w:p w:rsidR="005D1AEA" w:rsidRPr="00882A35" w:rsidRDefault="005D1AEA" w:rsidP="00A4301D">
            <w:pPr>
              <w:pStyle w:val="BodyText"/>
              <w:rPr>
                <w:szCs w:val="28"/>
              </w:rPr>
            </w:pPr>
            <w:r w:rsidRPr="00284E3A">
              <w:t xml:space="preserve">I am aware that I am making this declaration </w:t>
            </w:r>
            <w:r>
              <w:t xml:space="preserve">by submitting </w:t>
            </w:r>
            <w:r w:rsidRPr="008C1A2D">
              <w:t>this document electronically</w:t>
            </w:r>
            <w:r>
              <w:t xml:space="preserve"> and by</w:t>
            </w:r>
            <w:r w:rsidRPr="008C1A2D">
              <w:t xml:space="preserve"> using </w:t>
            </w:r>
            <w:r>
              <w:t>my</w:t>
            </w:r>
            <w:r w:rsidRPr="008C1A2D">
              <w:t xml:space="preserve"> Murdoch ID and password</w:t>
            </w:r>
            <w:r>
              <w:t xml:space="preserve"> it</w:t>
            </w:r>
            <w:r w:rsidRPr="008C1A2D">
              <w:t xml:space="preserve"> is deemed equivale</w:t>
            </w:r>
            <w:r>
              <w:t>nt to executing this declaration</w:t>
            </w:r>
            <w:r w:rsidRPr="008C1A2D">
              <w:t xml:space="preserve"> with </w:t>
            </w:r>
            <w:r>
              <w:t>m</w:t>
            </w:r>
            <w:r w:rsidRPr="008C1A2D">
              <w:t>y written signature.</w:t>
            </w:r>
          </w:p>
          <w:p w:rsidR="005D1AEA" w:rsidRPr="00882A35" w:rsidRDefault="005D1AEA" w:rsidP="00A4301D">
            <w:pPr>
              <w:rPr>
                <w:rFonts w:ascii="Arial" w:hAnsi="Arial" w:cs="Arial"/>
                <w:sz w:val="28"/>
                <w:szCs w:val="28"/>
              </w:rPr>
            </w:pPr>
          </w:p>
        </w:tc>
      </w:tr>
      <w:tr w:rsidR="005D1AEA" w:rsidRPr="00882A35" w:rsidTr="00A430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667"/>
        </w:trPr>
        <w:tc>
          <w:tcPr>
            <w:tcW w:w="9233" w:type="dxa"/>
            <w:gridSpan w:val="2"/>
            <w:tcBorders>
              <w:top w:val="single" w:sz="2" w:space="0" w:color="808080"/>
              <w:left w:val="single" w:sz="2" w:space="0" w:color="808080"/>
              <w:bottom w:val="single" w:sz="2" w:space="0" w:color="808080"/>
              <w:right w:val="single" w:sz="2" w:space="0" w:color="808080"/>
            </w:tcBorders>
          </w:tcPr>
          <w:p w:rsidR="005D1AEA" w:rsidRPr="00882A35" w:rsidRDefault="005D1AEA" w:rsidP="00A4301D">
            <w:pPr>
              <w:pStyle w:val="BodyText"/>
              <w:jc w:val="right"/>
              <w:rPr>
                <w:szCs w:val="28"/>
              </w:rPr>
            </w:pPr>
            <w:r w:rsidRPr="00882A35">
              <w:rPr>
                <w:szCs w:val="28"/>
              </w:rPr>
              <w:t>Optional Comments to Tutor:</w:t>
            </w:r>
          </w:p>
          <w:p w:rsidR="005D1AEA" w:rsidRPr="00882A35" w:rsidRDefault="005D1AEA" w:rsidP="00A4301D">
            <w:pPr>
              <w:pStyle w:val="BodyText"/>
              <w:jc w:val="right"/>
              <w:rPr>
                <w:sz w:val="18"/>
                <w:szCs w:val="18"/>
              </w:rPr>
            </w:pPr>
            <w:r w:rsidRPr="00882A35">
              <w:rPr>
                <w:sz w:val="18"/>
                <w:szCs w:val="18"/>
              </w:rPr>
              <w:t>E.g. If this is a group assignment, list group members here</w:t>
            </w:r>
          </w:p>
          <w:p w:rsidR="005D1AEA" w:rsidRPr="00882A35" w:rsidRDefault="005D1AEA" w:rsidP="00A4301D">
            <w:pPr>
              <w:rPr>
                <w:rFonts w:ascii="Arial" w:hAnsi="Arial" w:cs="Arial"/>
                <w:sz w:val="20"/>
                <w:szCs w:val="20"/>
              </w:rPr>
            </w:pPr>
          </w:p>
        </w:tc>
      </w:tr>
    </w:tbl>
    <w:p w:rsidR="006B451E" w:rsidRPr="00BA3B1C" w:rsidRDefault="007971BD" w:rsidP="00BA3B1C">
      <w:pPr>
        <w:spacing w:line="360" w:lineRule="auto"/>
        <w:rPr>
          <w:rFonts w:ascii="Arial" w:hAnsi="Arial" w:cs="Arial"/>
        </w:rPr>
      </w:pPr>
      <w:r w:rsidRPr="00BA3B1C">
        <w:rPr>
          <w:rFonts w:ascii="Arial" w:hAnsi="Arial" w:cs="Arial"/>
        </w:rPr>
        <w:lastRenderedPageBreak/>
        <w:t xml:space="preserve">Corporate Social Responsibility (CSR) is an approach adopted by organizations to work towards an ideal social and environmental development, apart from their investment to organizational development. It refers to a company’s sense of responsibility towards the community and environment it is placed in. Organizations adopt CSR strategies to ensure long-term benefits and to build a positive reputation and branding. </w:t>
      </w:r>
    </w:p>
    <w:p w:rsidR="007971BD" w:rsidRPr="00BA3B1C" w:rsidRDefault="007971BD" w:rsidP="00BA3B1C">
      <w:pPr>
        <w:spacing w:line="360" w:lineRule="auto"/>
        <w:rPr>
          <w:rFonts w:ascii="Arial" w:hAnsi="Arial" w:cs="Arial"/>
        </w:rPr>
      </w:pPr>
    </w:p>
    <w:p w:rsidR="007971BD" w:rsidRPr="00BA3B1C" w:rsidRDefault="007971BD" w:rsidP="00BA3B1C">
      <w:pPr>
        <w:spacing w:line="360" w:lineRule="auto"/>
        <w:rPr>
          <w:rFonts w:ascii="Arial" w:hAnsi="Arial" w:cs="Arial"/>
        </w:rPr>
      </w:pPr>
      <w:r w:rsidRPr="00BA3B1C">
        <w:rPr>
          <w:rFonts w:ascii="Arial" w:hAnsi="Arial" w:cs="Arial"/>
        </w:rPr>
        <w:t xml:space="preserve">One example of CSR would be Breadtalk’s involvement in the aftermath of the 2008 Sichuan Earthquake. Breadtalk specially crafted Peace Panda, a Panda Bear shaped bun in four different expressions symbolising the terror of the 7.8 magnitude earthquake. All sales proceeds from “Peace Panda” were donated to the Chinese Embassy and Red Cross Society’s “China Earthquake Appeal Fund”. This social philanthropic act displayed Breadtalk’s ingenious way of using their product as a tool to raise funds. This heightens the organization’s media coverage and catches the attention of the general public as a good cause for societal concern. </w:t>
      </w:r>
    </w:p>
    <w:p w:rsidR="007971BD" w:rsidRPr="00BA3B1C" w:rsidRDefault="007971BD" w:rsidP="00BA3B1C">
      <w:pPr>
        <w:spacing w:line="360" w:lineRule="auto"/>
        <w:rPr>
          <w:rFonts w:ascii="Arial" w:hAnsi="Arial" w:cs="Arial"/>
        </w:rPr>
      </w:pPr>
    </w:p>
    <w:p w:rsidR="007971BD" w:rsidRPr="00BA3B1C" w:rsidRDefault="007971BD" w:rsidP="00BA3B1C">
      <w:pPr>
        <w:spacing w:line="360" w:lineRule="auto"/>
        <w:rPr>
          <w:rFonts w:ascii="Arial" w:hAnsi="Arial" w:cs="Arial"/>
        </w:rPr>
      </w:pPr>
      <w:r w:rsidRPr="00BA3B1C">
        <w:rPr>
          <w:rFonts w:ascii="Arial" w:hAnsi="Arial" w:cs="Arial"/>
        </w:rPr>
        <w:t xml:space="preserve">Internally, by adopting good CSR approaches, Breadtalk will be able to attract prospective employees who prefer to work with a company that practices good business and moral ethics. This can boost work productivity and instill a better work attitude among existing employees. Employees may be more committed and have a higher job satisfaction when they are working for an organization that not only focuses on achieving higher sales profitability, but also strives to achieve a good cause for the environment through appropriate ethical and legal standards. </w:t>
      </w:r>
    </w:p>
    <w:p w:rsidR="007971BD" w:rsidRPr="00BA3B1C" w:rsidRDefault="007971BD" w:rsidP="00BA3B1C">
      <w:pPr>
        <w:spacing w:line="360" w:lineRule="auto"/>
        <w:rPr>
          <w:rFonts w:ascii="Arial" w:hAnsi="Arial" w:cs="Arial"/>
        </w:rPr>
      </w:pPr>
    </w:p>
    <w:p w:rsidR="00083FDB" w:rsidRPr="00BA3B1C" w:rsidRDefault="007971BD" w:rsidP="00BA3B1C">
      <w:pPr>
        <w:spacing w:line="360" w:lineRule="auto"/>
        <w:rPr>
          <w:rFonts w:ascii="Arial" w:hAnsi="Arial" w:cs="Arial"/>
        </w:rPr>
      </w:pPr>
      <w:r w:rsidRPr="00BA3B1C">
        <w:rPr>
          <w:rFonts w:ascii="Arial" w:hAnsi="Arial" w:cs="Arial"/>
        </w:rPr>
        <w:t xml:space="preserve">With constant globalization, foreign business markets, migration, foreign investments and international co-operation are rapidly increasing. Thus, it is important to appreciate and understand cultural differences and norms in business to further develop and sustain a harmonious relationship when exchanging a business deal. Understanding and learning to adapt to an entirely different culture when entering a foreign market can determine the financial success of the organization especially when Breadtalk is a fast growing international brand. It is critical to analyze the culture of new foreign business market that the organization is venturing in so that Breadtalk can adapt their products to suit consumer needs. This will enable managers to better manage expectations and delivery of results. </w:t>
      </w:r>
      <w:r w:rsidR="00083FDB" w:rsidRPr="00BA3B1C">
        <w:rPr>
          <w:rFonts w:ascii="Arial" w:hAnsi="Arial" w:cs="Arial"/>
        </w:rPr>
        <w:t>People tend to have some barriers such as misconcepti</w:t>
      </w:r>
      <w:r w:rsidR="00EA6048">
        <w:rPr>
          <w:rFonts w:ascii="Arial" w:hAnsi="Arial" w:cs="Arial"/>
        </w:rPr>
        <w:t>ons, prejudices or</w:t>
      </w:r>
      <w:r w:rsidR="00083FDB" w:rsidRPr="00BA3B1C">
        <w:rPr>
          <w:rFonts w:ascii="Arial" w:hAnsi="Arial" w:cs="Arial"/>
        </w:rPr>
        <w:t xml:space="preserve"> stereotypes that influence their understanding of others. Developing cross-cultural awareness demystifies other cultures by displaying them under an objective light. Being exposed to cross cultural </w:t>
      </w:r>
      <w:r w:rsidR="00EA6048">
        <w:rPr>
          <w:rFonts w:ascii="Arial" w:hAnsi="Arial" w:cs="Arial"/>
        </w:rPr>
        <w:t>differences</w:t>
      </w:r>
      <w:r w:rsidR="00083FDB" w:rsidRPr="00BA3B1C">
        <w:rPr>
          <w:rFonts w:ascii="Arial" w:hAnsi="Arial" w:cs="Arial"/>
        </w:rPr>
        <w:t xml:space="preserve"> breaks down barriers and aids in </w:t>
      </w:r>
      <w:r w:rsidR="00EA6048">
        <w:rPr>
          <w:rFonts w:ascii="Arial" w:hAnsi="Arial" w:cs="Arial"/>
        </w:rPr>
        <w:t xml:space="preserve">a </w:t>
      </w:r>
      <w:r w:rsidR="00083FDB" w:rsidRPr="00BA3B1C">
        <w:rPr>
          <w:rFonts w:ascii="Arial" w:hAnsi="Arial" w:cs="Arial"/>
        </w:rPr>
        <w:t xml:space="preserve">more expressive relationship and dialogue. This benefits the organization as Breadtalk managers are more aware of the cultural differences and can implement specific measures to counter differences faced. </w:t>
      </w:r>
    </w:p>
    <w:p w:rsidR="00083FDB" w:rsidRPr="00BA3B1C" w:rsidRDefault="00083FDB" w:rsidP="00BA3B1C">
      <w:pPr>
        <w:spacing w:line="360" w:lineRule="auto"/>
        <w:rPr>
          <w:rFonts w:ascii="Arial" w:hAnsi="Arial" w:cs="Arial"/>
        </w:rPr>
      </w:pPr>
    </w:p>
    <w:p w:rsidR="00BA3B1C" w:rsidRPr="00BA3B1C" w:rsidRDefault="00BA3B1C" w:rsidP="00BA3B1C">
      <w:pPr>
        <w:spacing w:line="360" w:lineRule="auto"/>
        <w:rPr>
          <w:rFonts w:ascii="Arial" w:hAnsi="Arial" w:cs="Arial"/>
        </w:rPr>
      </w:pPr>
      <w:r w:rsidRPr="00BA3B1C">
        <w:rPr>
          <w:rFonts w:ascii="Arial" w:hAnsi="Arial" w:cs="Arial"/>
        </w:rPr>
        <w:t xml:space="preserve">Managers can spread good cross-cultural awareness by first, embracing diversity. A good manager celebrates diversity by placing a high importance of sharing </w:t>
      </w:r>
      <w:r w:rsidR="00EA6048">
        <w:rPr>
          <w:rFonts w:ascii="Arial" w:hAnsi="Arial" w:cs="Arial"/>
        </w:rPr>
        <w:t>and understanding culture within</w:t>
      </w:r>
      <w:r w:rsidRPr="00BA3B1C">
        <w:rPr>
          <w:rFonts w:ascii="Arial" w:hAnsi="Arial" w:cs="Arial"/>
        </w:rPr>
        <w:t xml:space="preserve"> a diverse workforce. This encourages employees and global partners to be more transparent and open with one another. A good manager assumes differences, not similarities. They suspend judgements by gathering as much information as possible so they can make a better assessment of the situation before evaluating it. It is important for a manager to have empathy towards their employee, as it is through empathy that we learn of how others would like to be treated. </w:t>
      </w:r>
    </w:p>
    <w:p w:rsidR="007971BD" w:rsidRPr="00BA3B1C" w:rsidRDefault="007971BD" w:rsidP="00BA3B1C">
      <w:pPr>
        <w:spacing w:line="360" w:lineRule="auto"/>
        <w:rPr>
          <w:rFonts w:ascii="Arial" w:hAnsi="Arial" w:cs="Arial"/>
        </w:rPr>
      </w:pPr>
    </w:p>
    <w:p w:rsidR="007971BD" w:rsidRPr="00BA3B1C" w:rsidRDefault="007971BD" w:rsidP="00BA3B1C">
      <w:pPr>
        <w:spacing w:line="360" w:lineRule="auto"/>
        <w:rPr>
          <w:rFonts w:ascii="Arial" w:hAnsi="Arial" w:cs="Arial"/>
        </w:rPr>
      </w:pPr>
      <w:r w:rsidRPr="00BA3B1C">
        <w:rPr>
          <w:rFonts w:ascii="Arial" w:hAnsi="Arial" w:cs="Arial"/>
        </w:rPr>
        <w:t xml:space="preserve">Accoding to Geert Hofstede’s comparison of Australia, the country scores a low 31 on long-term orientation dimension. This depicts Australia’s short-term oriented culture. Thus they are more traditional and willing to fufill social obligations. Based on this outlook, Australian businesses gauge their performance on a short-term basis. Their profit and loss statements are churned out on a quarterly basis. This drives employees to aim for fast results in the workplace. </w:t>
      </w:r>
    </w:p>
    <w:p w:rsidR="007971BD" w:rsidRPr="00BA3B1C" w:rsidRDefault="007971BD" w:rsidP="00BA3B1C">
      <w:pPr>
        <w:spacing w:line="360" w:lineRule="auto"/>
        <w:rPr>
          <w:rFonts w:ascii="Arial" w:hAnsi="Arial" w:cs="Arial"/>
        </w:rPr>
      </w:pPr>
    </w:p>
    <w:p w:rsidR="007971BD" w:rsidRPr="00BA3B1C" w:rsidRDefault="007971BD" w:rsidP="00BA3B1C">
      <w:pPr>
        <w:spacing w:line="360" w:lineRule="auto"/>
        <w:rPr>
          <w:rFonts w:ascii="Arial" w:hAnsi="Arial" w:cs="Arial"/>
        </w:rPr>
      </w:pPr>
      <w:r w:rsidRPr="00BA3B1C">
        <w:rPr>
          <w:rFonts w:ascii="Arial" w:hAnsi="Arial" w:cs="Arial"/>
        </w:rPr>
        <w:t xml:space="preserve">Based on Australia’s score of 51 on uncertainty dimension, it shows that the country adopts a fairly pragmatic culture in terms of uncertainty avoidance. Both generalists and experts are needed and there is focus on planning which can be changed at short notice and improvisations made. Emotions are not shown much in Australia and people are fairly relaxed and not open to taking risks. However there is more willingness of acceptance for new ideas, innovative products and a willingness to try something new or different. </w:t>
      </w:r>
    </w:p>
    <w:p w:rsidR="00130847" w:rsidRPr="00BA3B1C" w:rsidRDefault="00130847" w:rsidP="00BA3B1C">
      <w:pPr>
        <w:spacing w:line="360" w:lineRule="auto"/>
        <w:rPr>
          <w:rFonts w:ascii="Arial" w:hAnsi="Arial" w:cs="Arial"/>
        </w:rPr>
      </w:pPr>
    </w:p>
    <w:p w:rsidR="00A1343E" w:rsidRPr="00BA3B1C" w:rsidRDefault="00130847" w:rsidP="00BA3B1C">
      <w:pPr>
        <w:spacing w:line="360" w:lineRule="auto"/>
        <w:rPr>
          <w:rFonts w:ascii="Arial" w:hAnsi="Arial" w:cs="Arial"/>
        </w:rPr>
      </w:pPr>
      <w:r w:rsidRPr="00BA3B1C">
        <w:rPr>
          <w:rFonts w:ascii="Arial" w:hAnsi="Arial" w:cs="Arial"/>
        </w:rPr>
        <w:t xml:space="preserve">In 1948-49, Australians ate an average of 64kg of bread a year but by year 2000, it fell to 53.4kg. Despite the reduced average consumption of bread, the bread imdustry has produced larger varieties of bread such as wholemeal, whole grain, seeded, sweetened, sourdough, </w:t>
      </w:r>
      <w:r w:rsidR="00C976E1" w:rsidRPr="00BA3B1C">
        <w:rPr>
          <w:rFonts w:ascii="Arial" w:hAnsi="Arial" w:cs="Arial"/>
        </w:rPr>
        <w:t xml:space="preserve">rye, artisan loaves, focaccia, </w:t>
      </w:r>
      <w:proofErr w:type="gramStart"/>
      <w:r w:rsidR="00C976E1" w:rsidRPr="00BA3B1C">
        <w:rPr>
          <w:rFonts w:ascii="Arial" w:hAnsi="Arial" w:cs="Arial"/>
        </w:rPr>
        <w:t>ciabat</w:t>
      </w:r>
      <w:r w:rsidRPr="00BA3B1C">
        <w:rPr>
          <w:rFonts w:ascii="Arial" w:hAnsi="Arial" w:cs="Arial"/>
        </w:rPr>
        <w:t>ta</w:t>
      </w:r>
      <w:proofErr w:type="gramEnd"/>
      <w:r w:rsidRPr="00BA3B1C">
        <w:rPr>
          <w:rFonts w:ascii="Arial" w:hAnsi="Arial" w:cs="Arial"/>
        </w:rPr>
        <w:t xml:space="preserve"> and flat breads. Bread is a $2.5 billion a year industry in Australia.  Thus, bread still remains as a staple food of th</w:t>
      </w:r>
      <w:r w:rsidR="001D0B5A" w:rsidRPr="00BA3B1C">
        <w:rPr>
          <w:rFonts w:ascii="Arial" w:hAnsi="Arial" w:cs="Arial"/>
        </w:rPr>
        <w:t xml:space="preserve">e national diet of Australians. Breadtalk can capitalize on this opportunity by venturing into Australia. </w:t>
      </w:r>
      <w:r w:rsidR="00C976E1" w:rsidRPr="00BA3B1C">
        <w:rPr>
          <w:rFonts w:ascii="Arial" w:hAnsi="Arial" w:cs="Arial"/>
        </w:rPr>
        <w:t xml:space="preserve">Therefore, it is important to understand the cultural differences of other countries so that Breadtalk can take proper measures to penetrate their desired foreign market effectively. </w:t>
      </w:r>
    </w:p>
    <w:p w:rsidR="00BA3B1C" w:rsidRPr="00BA3B1C" w:rsidRDefault="00BA3B1C" w:rsidP="00BA3B1C">
      <w:pPr>
        <w:spacing w:line="360" w:lineRule="auto"/>
        <w:rPr>
          <w:rFonts w:ascii="Arial" w:hAnsi="Arial" w:cs="Arial"/>
        </w:rPr>
      </w:pPr>
    </w:p>
    <w:p w:rsidR="00BA3B1C" w:rsidRDefault="00BA3B1C" w:rsidP="00A1343E"/>
    <w:p w:rsidR="00593AB5" w:rsidRDefault="00593AB5" w:rsidP="00A1343E"/>
    <w:p w:rsidR="00593AB5" w:rsidRDefault="00593AB5" w:rsidP="00A1343E"/>
    <w:p w:rsidR="00593AB5" w:rsidRDefault="00593AB5" w:rsidP="00A1343E"/>
    <w:p w:rsidR="00593AB5" w:rsidRDefault="00593AB5" w:rsidP="00A1343E"/>
    <w:p w:rsidR="00593AB5" w:rsidRDefault="00593AB5" w:rsidP="00A1343E"/>
    <w:p w:rsidR="00593AB5" w:rsidRDefault="00593AB5" w:rsidP="00A1343E"/>
    <w:p w:rsidR="00593AB5" w:rsidRDefault="00593AB5" w:rsidP="00A1343E"/>
    <w:p w:rsidR="00593AB5" w:rsidRDefault="00593AB5" w:rsidP="00A1343E"/>
    <w:p w:rsidR="00593AB5" w:rsidRDefault="00593AB5" w:rsidP="00A1343E"/>
    <w:p w:rsidR="00593AB5" w:rsidRDefault="00593AB5" w:rsidP="00A1343E"/>
    <w:p w:rsidR="00593AB5" w:rsidRDefault="00593AB5" w:rsidP="00A1343E"/>
    <w:p w:rsidR="00593AB5" w:rsidRDefault="00593AB5" w:rsidP="00A1343E"/>
    <w:p w:rsidR="00593AB5" w:rsidRDefault="00593AB5" w:rsidP="00A1343E"/>
    <w:p w:rsidR="00593AB5" w:rsidRDefault="00593AB5" w:rsidP="00A1343E"/>
    <w:p w:rsidR="00593AB5" w:rsidRDefault="00593AB5" w:rsidP="00A1343E"/>
    <w:p w:rsidR="00593AB5" w:rsidRDefault="00593AB5" w:rsidP="00A1343E"/>
    <w:p w:rsidR="00593AB5" w:rsidRDefault="00593AB5" w:rsidP="00A1343E"/>
    <w:p w:rsidR="00593AB5" w:rsidRDefault="00593AB5" w:rsidP="00A1343E"/>
    <w:p w:rsidR="00593AB5" w:rsidRDefault="00593AB5" w:rsidP="00A1343E"/>
    <w:p w:rsidR="00593AB5" w:rsidRDefault="00593AB5" w:rsidP="00A1343E"/>
    <w:p w:rsidR="00593AB5" w:rsidRDefault="00593AB5" w:rsidP="00A1343E"/>
    <w:p w:rsidR="00593AB5" w:rsidRDefault="00593AB5" w:rsidP="00A1343E"/>
    <w:p w:rsidR="00593AB5" w:rsidRDefault="00593AB5" w:rsidP="00A1343E"/>
    <w:p w:rsidR="00593AB5" w:rsidRDefault="00593AB5" w:rsidP="00A1343E"/>
    <w:p w:rsidR="00593AB5" w:rsidRDefault="00593AB5" w:rsidP="00A1343E"/>
    <w:p w:rsidR="005D1AEA" w:rsidRDefault="005D1AEA" w:rsidP="00A1343E"/>
    <w:p w:rsidR="005D1AEA" w:rsidRDefault="005D1AEA" w:rsidP="00A1343E"/>
    <w:p w:rsidR="005D1AEA" w:rsidRDefault="005D1AEA" w:rsidP="00593AB5">
      <w:pPr>
        <w:widowControl w:val="0"/>
        <w:tabs>
          <w:tab w:val="left" w:pos="220"/>
          <w:tab w:val="left" w:pos="720"/>
        </w:tabs>
        <w:autoSpaceDE w:val="0"/>
        <w:autoSpaceDN w:val="0"/>
        <w:adjustRightInd w:val="0"/>
        <w:spacing w:after="260"/>
        <w:ind w:left="360"/>
      </w:pPr>
    </w:p>
    <w:p w:rsidR="00593AB5" w:rsidRDefault="00593AB5" w:rsidP="00593AB5">
      <w:pPr>
        <w:widowControl w:val="0"/>
        <w:tabs>
          <w:tab w:val="left" w:pos="220"/>
          <w:tab w:val="left" w:pos="720"/>
        </w:tabs>
        <w:autoSpaceDE w:val="0"/>
        <w:autoSpaceDN w:val="0"/>
        <w:adjustRightInd w:val="0"/>
        <w:spacing w:after="260"/>
        <w:ind w:left="360"/>
        <w:rPr>
          <w:rFonts w:ascii="Arial" w:hAnsi="Arial" w:cs="Arial"/>
          <w:sz w:val="26"/>
          <w:szCs w:val="26"/>
        </w:rPr>
      </w:pPr>
      <w:r w:rsidRPr="00593AB5">
        <w:rPr>
          <w:rFonts w:ascii="Arial" w:hAnsi="Arial" w:cs="Arial"/>
          <w:b/>
        </w:rPr>
        <w:t>References</w:t>
      </w:r>
      <w:r w:rsidRPr="00593AB5">
        <w:rPr>
          <w:rFonts w:ascii="Arial" w:hAnsi="Arial" w:cs="Arial"/>
          <w:b/>
        </w:rPr>
        <w:br/>
      </w:r>
      <w:r w:rsidRPr="00593AB5">
        <w:rPr>
          <w:rFonts w:ascii="Arial" w:hAnsi="Arial" w:cs="Arial"/>
        </w:rPr>
        <w:br/>
      </w:r>
      <w:r w:rsidRPr="00593AB5">
        <w:rPr>
          <w:rFonts w:ascii="Arial" w:hAnsi="Arial" w:cs="Arial"/>
          <w:sz w:val="26"/>
          <w:szCs w:val="26"/>
        </w:rPr>
        <w:t>FerraroG.</w:t>
      </w:r>
      <w:r w:rsidRPr="00593AB5">
        <w:rPr>
          <w:rFonts w:ascii="Arial" w:hAnsi="Arial" w:cs="Arial"/>
          <w:i/>
          <w:iCs/>
          <w:sz w:val="26"/>
          <w:szCs w:val="26"/>
        </w:rPr>
        <w:t>The</w:t>
      </w:r>
      <w:r>
        <w:rPr>
          <w:rFonts w:ascii="Arial" w:hAnsi="Arial" w:cs="Arial"/>
          <w:i/>
          <w:iCs/>
          <w:sz w:val="26"/>
          <w:szCs w:val="26"/>
        </w:rPr>
        <w:t xml:space="preserve"> </w:t>
      </w:r>
      <w:r w:rsidRPr="00593AB5">
        <w:rPr>
          <w:rFonts w:ascii="Arial" w:hAnsi="Arial" w:cs="Arial"/>
          <w:i/>
          <w:iCs/>
          <w:sz w:val="26"/>
          <w:szCs w:val="26"/>
        </w:rPr>
        <w:t>Cultural</w:t>
      </w:r>
      <w:r>
        <w:rPr>
          <w:rFonts w:ascii="Arial" w:hAnsi="Arial" w:cs="Arial"/>
          <w:i/>
          <w:iCs/>
          <w:sz w:val="26"/>
          <w:szCs w:val="26"/>
        </w:rPr>
        <w:t xml:space="preserve"> </w:t>
      </w:r>
      <w:r w:rsidRPr="00593AB5">
        <w:rPr>
          <w:rFonts w:ascii="Arial" w:hAnsi="Arial" w:cs="Arial"/>
          <w:i/>
          <w:iCs/>
          <w:sz w:val="26"/>
          <w:szCs w:val="26"/>
        </w:rPr>
        <w:t>Dimension</w:t>
      </w:r>
      <w:r>
        <w:rPr>
          <w:rFonts w:ascii="Arial" w:hAnsi="Arial" w:cs="Arial"/>
          <w:i/>
          <w:iCs/>
          <w:sz w:val="26"/>
          <w:szCs w:val="26"/>
        </w:rPr>
        <w:t xml:space="preserve"> </w:t>
      </w:r>
      <w:r w:rsidRPr="00593AB5">
        <w:rPr>
          <w:rFonts w:ascii="Arial" w:hAnsi="Arial" w:cs="Arial"/>
          <w:i/>
          <w:iCs/>
          <w:sz w:val="26"/>
          <w:szCs w:val="26"/>
        </w:rPr>
        <w:t>of</w:t>
      </w:r>
      <w:r>
        <w:rPr>
          <w:rFonts w:ascii="Arial" w:hAnsi="Arial" w:cs="Arial"/>
          <w:i/>
          <w:iCs/>
          <w:sz w:val="26"/>
          <w:szCs w:val="26"/>
        </w:rPr>
        <w:t xml:space="preserve"> </w:t>
      </w:r>
      <w:r w:rsidRPr="00593AB5">
        <w:rPr>
          <w:rFonts w:ascii="Arial" w:hAnsi="Arial" w:cs="Arial"/>
          <w:i/>
          <w:iCs/>
          <w:sz w:val="26"/>
          <w:szCs w:val="26"/>
        </w:rPr>
        <w:t>International</w:t>
      </w:r>
      <w:r>
        <w:rPr>
          <w:rFonts w:ascii="Arial" w:hAnsi="Arial" w:cs="Arial"/>
          <w:i/>
          <w:iCs/>
          <w:sz w:val="26"/>
          <w:szCs w:val="26"/>
        </w:rPr>
        <w:t xml:space="preserve"> </w:t>
      </w:r>
      <w:r w:rsidRPr="00593AB5">
        <w:rPr>
          <w:rFonts w:ascii="Arial" w:hAnsi="Arial" w:cs="Arial"/>
          <w:i/>
          <w:iCs/>
          <w:sz w:val="26"/>
          <w:szCs w:val="26"/>
        </w:rPr>
        <w:t>Business</w:t>
      </w:r>
      <w:r w:rsidRPr="00593AB5">
        <w:rPr>
          <w:rFonts w:ascii="Arial" w:hAnsi="Arial" w:cs="Arial"/>
          <w:sz w:val="26"/>
          <w:szCs w:val="26"/>
        </w:rPr>
        <w:t xml:space="preserve">. 4th ed. Upper Saddle River, NJ: Prentice Hall; 2002. </w:t>
      </w:r>
    </w:p>
    <w:p w:rsidR="00593AB5" w:rsidRDefault="00593AB5" w:rsidP="00593AB5">
      <w:pPr>
        <w:widowControl w:val="0"/>
        <w:tabs>
          <w:tab w:val="left" w:pos="220"/>
          <w:tab w:val="left" w:pos="720"/>
        </w:tabs>
        <w:autoSpaceDE w:val="0"/>
        <w:autoSpaceDN w:val="0"/>
        <w:adjustRightInd w:val="0"/>
        <w:spacing w:after="260"/>
        <w:ind w:left="360"/>
        <w:rPr>
          <w:rFonts w:ascii="Arial" w:hAnsi="Arial" w:cs="Arial"/>
          <w:sz w:val="26"/>
          <w:szCs w:val="26"/>
        </w:rPr>
      </w:pPr>
      <w:r w:rsidRPr="00593AB5">
        <w:rPr>
          <w:rFonts w:ascii="Arial" w:hAnsi="Arial" w:cs="Arial"/>
          <w:sz w:val="26"/>
          <w:szCs w:val="26"/>
        </w:rPr>
        <w:t>Leavitt RL, ed. Cross-Cultural Rehabilitation: An International Perspective. London, England: WB Saunders Co; 1999.</w:t>
      </w:r>
    </w:p>
    <w:p w:rsidR="00593AB5" w:rsidRDefault="001548AA" w:rsidP="00593AB5">
      <w:pPr>
        <w:widowControl w:val="0"/>
        <w:tabs>
          <w:tab w:val="left" w:pos="220"/>
          <w:tab w:val="left" w:pos="720"/>
        </w:tabs>
        <w:autoSpaceDE w:val="0"/>
        <w:autoSpaceDN w:val="0"/>
        <w:adjustRightInd w:val="0"/>
        <w:spacing w:after="260"/>
        <w:ind w:left="360"/>
        <w:rPr>
          <w:rFonts w:ascii="Arial" w:hAnsi="Arial" w:cs="Arial"/>
          <w:sz w:val="26"/>
          <w:szCs w:val="26"/>
        </w:rPr>
      </w:pPr>
      <w:r w:rsidRPr="001548AA">
        <w:rPr>
          <w:rFonts w:ascii="Arial" w:hAnsi="Arial" w:cs="Arial"/>
          <w:sz w:val="26"/>
          <w:szCs w:val="26"/>
        </w:rPr>
        <w:t xml:space="preserve">Schwartz, S. H., &amp; Sagiv, L. (1995). Identifying culture-specifics in the content and structure of values. </w:t>
      </w:r>
      <w:proofErr w:type="gramStart"/>
      <w:r w:rsidRPr="001548AA">
        <w:rPr>
          <w:rFonts w:ascii="Arial" w:hAnsi="Arial" w:cs="Arial"/>
          <w:sz w:val="26"/>
          <w:szCs w:val="26"/>
        </w:rPr>
        <w:t>Journal of Cross-Cultural Psychol- ogy, 26, 92–116.</w:t>
      </w:r>
      <w:proofErr w:type="gramEnd"/>
    </w:p>
    <w:p w:rsidR="001548AA" w:rsidRDefault="001548AA" w:rsidP="00593AB5">
      <w:pPr>
        <w:widowControl w:val="0"/>
        <w:tabs>
          <w:tab w:val="left" w:pos="220"/>
          <w:tab w:val="left" w:pos="720"/>
        </w:tabs>
        <w:autoSpaceDE w:val="0"/>
        <w:autoSpaceDN w:val="0"/>
        <w:adjustRightInd w:val="0"/>
        <w:spacing w:after="260"/>
        <w:ind w:left="360"/>
        <w:rPr>
          <w:rFonts w:ascii="Arial" w:hAnsi="Arial" w:cs="Arial"/>
          <w:sz w:val="26"/>
          <w:szCs w:val="26"/>
        </w:rPr>
      </w:pPr>
      <w:r w:rsidRPr="001548AA">
        <w:rPr>
          <w:rFonts w:ascii="Arial" w:hAnsi="Arial" w:cs="Arial"/>
          <w:sz w:val="26"/>
          <w:szCs w:val="26"/>
        </w:rPr>
        <w:t xml:space="preserve">Suh, E. M. (2001). Culture, identity consistency, and subjective </w:t>
      </w:r>
      <w:proofErr w:type="gramStart"/>
      <w:r w:rsidRPr="001548AA">
        <w:rPr>
          <w:rFonts w:ascii="Arial" w:hAnsi="Arial" w:cs="Arial"/>
          <w:sz w:val="26"/>
          <w:szCs w:val="26"/>
        </w:rPr>
        <w:t>well-being</w:t>
      </w:r>
      <w:proofErr w:type="gramEnd"/>
      <w:r w:rsidRPr="001548AA">
        <w:rPr>
          <w:rFonts w:ascii="Arial" w:hAnsi="Arial" w:cs="Arial"/>
          <w:sz w:val="26"/>
          <w:szCs w:val="26"/>
        </w:rPr>
        <w:t>. Manuscript submitted for publication, University of California, Irvine.</w:t>
      </w:r>
    </w:p>
    <w:p w:rsidR="001548AA" w:rsidRDefault="001548AA" w:rsidP="00593AB5">
      <w:pPr>
        <w:widowControl w:val="0"/>
        <w:tabs>
          <w:tab w:val="left" w:pos="220"/>
          <w:tab w:val="left" w:pos="720"/>
        </w:tabs>
        <w:autoSpaceDE w:val="0"/>
        <w:autoSpaceDN w:val="0"/>
        <w:adjustRightInd w:val="0"/>
        <w:spacing w:after="260"/>
        <w:ind w:left="360"/>
        <w:rPr>
          <w:rFonts w:ascii="Arial" w:hAnsi="Arial" w:cs="Arial"/>
          <w:sz w:val="26"/>
          <w:szCs w:val="26"/>
        </w:rPr>
      </w:pPr>
      <w:proofErr w:type="gramStart"/>
      <w:r w:rsidRPr="001548AA">
        <w:rPr>
          <w:rFonts w:ascii="Arial" w:hAnsi="Arial" w:cs="Arial"/>
          <w:sz w:val="26"/>
          <w:szCs w:val="26"/>
        </w:rPr>
        <w:t>Samovar, L.A. and Porter, R.E. (1995) Communication between cultures.</w:t>
      </w:r>
      <w:proofErr w:type="gramEnd"/>
      <w:r w:rsidRPr="001548AA">
        <w:rPr>
          <w:rFonts w:ascii="Arial" w:hAnsi="Arial" w:cs="Arial"/>
          <w:sz w:val="26"/>
          <w:szCs w:val="26"/>
        </w:rPr>
        <w:t xml:space="preserve"> </w:t>
      </w:r>
      <w:proofErr w:type="gramStart"/>
      <w:r w:rsidRPr="001548AA">
        <w:rPr>
          <w:rFonts w:ascii="Arial" w:hAnsi="Arial" w:cs="Arial"/>
          <w:sz w:val="26"/>
          <w:szCs w:val="26"/>
        </w:rPr>
        <w:t>(2nd Ed.).</w:t>
      </w:r>
      <w:proofErr w:type="gramEnd"/>
      <w:r w:rsidRPr="001548AA">
        <w:rPr>
          <w:rFonts w:ascii="Arial" w:hAnsi="Arial" w:cs="Arial"/>
          <w:sz w:val="26"/>
          <w:szCs w:val="26"/>
        </w:rPr>
        <w:t xml:space="preserve"> Philadelphia: Wadsworth.</w:t>
      </w:r>
    </w:p>
    <w:p w:rsidR="00606FA3" w:rsidRDefault="00606FA3" w:rsidP="00593AB5">
      <w:pPr>
        <w:widowControl w:val="0"/>
        <w:tabs>
          <w:tab w:val="left" w:pos="220"/>
          <w:tab w:val="left" w:pos="720"/>
        </w:tabs>
        <w:autoSpaceDE w:val="0"/>
        <w:autoSpaceDN w:val="0"/>
        <w:adjustRightInd w:val="0"/>
        <w:spacing w:after="260"/>
        <w:ind w:left="360"/>
        <w:rPr>
          <w:rFonts w:ascii="Arial" w:hAnsi="Arial" w:cs="Arial"/>
          <w:sz w:val="26"/>
          <w:szCs w:val="26"/>
        </w:rPr>
      </w:pPr>
      <w:proofErr w:type="gramStart"/>
      <w:r w:rsidRPr="00606FA3">
        <w:rPr>
          <w:rFonts w:ascii="Arial" w:hAnsi="Arial" w:cs="Arial"/>
          <w:sz w:val="26"/>
          <w:szCs w:val="26"/>
        </w:rPr>
        <w:t>Morris, M. and Robie, C. (2001), ‘A meta-analysis of the effects of cross-cultural training on expatriate performance and adjustment’, International Journal of Training and Development, 5, 112–26.</w:t>
      </w:r>
      <w:proofErr w:type="gramEnd"/>
    </w:p>
    <w:p w:rsidR="00606FA3" w:rsidRDefault="00606FA3" w:rsidP="00593AB5">
      <w:pPr>
        <w:widowControl w:val="0"/>
        <w:tabs>
          <w:tab w:val="left" w:pos="220"/>
          <w:tab w:val="left" w:pos="720"/>
        </w:tabs>
        <w:autoSpaceDE w:val="0"/>
        <w:autoSpaceDN w:val="0"/>
        <w:adjustRightInd w:val="0"/>
        <w:spacing w:after="260"/>
        <w:ind w:left="360"/>
        <w:rPr>
          <w:rFonts w:ascii="Arial" w:hAnsi="Arial" w:cs="Arial"/>
          <w:sz w:val="26"/>
          <w:szCs w:val="26"/>
        </w:rPr>
      </w:pPr>
      <w:proofErr w:type="gramStart"/>
      <w:r w:rsidRPr="00606FA3">
        <w:rPr>
          <w:rFonts w:ascii="Arial" w:hAnsi="Arial" w:cs="Arial"/>
          <w:sz w:val="26"/>
          <w:szCs w:val="26"/>
        </w:rPr>
        <w:t>Parker, B. and McEvoy, G. (1993), ‘Initial examination of a model of intercultural adjustment’, International Journal of Intercultural Relations, 17, 355–79.</w:t>
      </w:r>
      <w:proofErr w:type="gramEnd"/>
    </w:p>
    <w:p w:rsidR="00606FA3" w:rsidRDefault="00606FA3" w:rsidP="00606FA3">
      <w:pPr>
        <w:widowControl w:val="0"/>
        <w:tabs>
          <w:tab w:val="left" w:pos="220"/>
          <w:tab w:val="left" w:pos="720"/>
        </w:tabs>
        <w:autoSpaceDE w:val="0"/>
        <w:autoSpaceDN w:val="0"/>
        <w:adjustRightInd w:val="0"/>
        <w:spacing w:after="260"/>
        <w:ind w:left="360"/>
        <w:rPr>
          <w:rFonts w:ascii="Arial" w:hAnsi="Arial" w:cs="Arial"/>
          <w:sz w:val="26"/>
          <w:szCs w:val="26"/>
        </w:rPr>
      </w:pPr>
      <w:r w:rsidRPr="00606FA3">
        <w:rPr>
          <w:rFonts w:ascii="Arial" w:hAnsi="Arial" w:cs="Arial"/>
          <w:sz w:val="26"/>
          <w:szCs w:val="26"/>
        </w:rPr>
        <w:t>Waxin, M. and Panaccio, A. (2005), ‘Cross-cultural training to facilitate expatriate adjustment: it work</w:t>
      </w:r>
      <w:r>
        <w:rPr>
          <w:rFonts w:ascii="Arial" w:hAnsi="Arial" w:cs="Arial"/>
          <w:sz w:val="26"/>
          <w:szCs w:val="26"/>
        </w:rPr>
        <w:t xml:space="preserve">s!’ Personnel Review, 34, 51–67. </w:t>
      </w:r>
    </w:p>
    <w:p w:rsidR="00606FA3" w:rsidRDefault="00606FA3" w:rsidP="00606FA3">
      <w:pPr>
        <w:widowControl w:val="0"/>
        <w:tabs>
          <w:tab w:val="left" w:pos="220"/>
          <w:tab w:val="left" w:pos="720"/>
        </w:tabs>
        <w:autoSpaceDE w:val="0"/>
        <w:autoSpaceDN w:val="0"/>
        <w:adjustRightInd w:val="0"/>
        <w:spacing w:after="260"/>
        <w:ind w:left="360"/>
        <w:rPr>
          <w:rFonts w:ascii="Arial" w:hAnsi="Arial" w:cs="Arial"/>
          <w:sz w:val="26"/>
          <w:szCs w:val="26"/>
        </w:rPr>
      </w:pPr>
      <w:r w:rsidRPr="00606FA3">
        <w:rPr>
          <w:rFonts w:ascii="Arial" w:hAnsi="Arial" w:cs="Arial"/>
          <w:sz w:val="26"/>
          <w:szCs w:val="26"/>
        </w:rPr>
        <w:t>Kealey, D. and Protheroe, D. (1996), ‘</w:t>
      </w:r>
      <w:proofErr w:type="gramStart"/>
      <w:r w:rsidRPr="00606FA3">
        <w:rPr>
          <w:rFonts w:ascii="Arial" w:hAnsi="Arial" w:cs="Arial"/>
          <w:sz w:val="26"/>
          <w:szCs w:val="26"/>
        </w:rPr>
        <w:t>The</w:t>
      </w:r>
      <w:proofErr w:type="gramEnd"/>
      <w:r w:rsidRPr="00606FA3">
        <w:rPr>
          <w:rFonts w:ascii="Arial" w:hAnsi="Arial" w:cs="Arial"/>
          <w:sz w:val="26"/>
          <w:szCs w:val="26"/>
        </w:rPr>
        <w:t xml:space="preserve"> effectiveness of cross-cultural training for expatriates: an assessment of the literature on the issue’, International Journal of Intercultural Relations, 20,141–65.</w:t>
      </w:r>
    </w:p>
    <w:p w:rsidR="003E3864" w:rsidRPr="00606FA3" w:rsidRDefault="003E3864" w:rsidP="00606FA3">
      <w:pPr>
        <w:widowControl w:val="0"/>
        <w:tabs>
          <w:tab w:val="left" w:pos="220"/>
          <w:tab w:val="left" w:pos="720"/>
        </w:tabs>
        <w:autoSpaceDE w:val="0"/>
        <w:autoSpaceDN w:val="0"/>
        <w:adjustRightInd w:val="0"/>
        <w:spacing w:after="260"/>
        <w:ind w:left="360"/>
        <w:rPr>
          <w:rFonts w:ascii="Arial" w:hAnsi="Arial" w:cs="Arial"/>
          <w:sz w:val="26"/>
          <w:szCs w:val="26"/>
        </w:rPr>
      </w:pPr>
      <w:r>
        <w:rPr>
          <w:rFonts w:ascii="Arial" w:hAnsi="Arial" w:cs="Arial"/>
          <w:sz w:val="26"/>
          <w:szCs w:val="26"/>
        </w:rPr>
        <w:t xml:space="preserve"> </w:t>
      </w:r>
    </w:p>
    <w:sectPr w:rsidR="003E3864" w:rsidRPr="00606FA3" w:rsidSect="006B451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Palatino Linotype">
    <w:panose1 w:val="02040502050505030304"/>
    <w:charset w:val="00"/>
    <w:family w:val="auto"/>
    <w:pitch w:val="variable"/>
    <w:sig w:usb0="E0000287" w:usb1="40000013"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DCF19EE"/>
    <w:multiLevelType w:val="hybridMultilevel"/>
    <w:tmpl w:val="C9B4716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1BD"/>
    <w:rsid w:val="00083FDB"/>
    <w:rsid w:val="00130847"/>
    <w:rsid w:val="001548AA"/>
    <w:rsid w:val="001D0B5A"/>
    <w:rsid w:val="003E3864"/>
    <w:rsid w:val="00593AB5"/>
    <w:rsid w:val="005D1AEA"/>
    <w:rsid w:val="00606FA3"/>
    <w:rsid w:val="006B451E"/>
    <w:rsid w:val="007971BD"/>
    <w:rsid w:val="00A1343E"/>
    <w:rsid w:val="00BA3B1C"/>
    <w:rsid w:val="00C976E1"/>
    <w:rsid w:val="00EA6048"/>
    <w:rsid w:val="00F470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D1AEA"/>
    <w:rPr>
      <w:rFonts w:ascii="Arial" w:eastAsia="Times New Roman" w:hAnsi="Arial" w:cs="Arial"/>
      <w:lang w:bidi="en-US"/>
    </w:rPr>
  </w:style>
  <w:style w:type="character" w:customStyle="1" w:styleId="BodyTextChar">
    <w:name w:val="Body Text Char"/>
    <w:basedOn w:val="DefaultParagraphFont"/>
    <w:link w:val="BodyText"/>
    <w:rsid w:val="005D1AEA"/>
    <w:rPr>
      <w:rFonts w:ascii="Arial" w:eastAsia="Times New Roman" w:hAnsi="Arial" w:cs="Arial"/>
      <w:lang w:bidi="en-US"/>
    </w:rPr>
  </w:style>
  <w:style w:type="paragraph" w:styleId="BalloonText">
    <w:name w:val="Balloon Text"/>
    <w:basedOn w:val="Normal"/>
    <w:link w:val="BalloonTextChar"/>
    <w:uiPriority w:val="99"/>
    <w:semiHidden/>
    <w:unhideWhenUsed/>
    <w:rsid w:val="005D1A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1AEA"/>
    <w:rPr>
      <w:rFonts w:ascii="Lucida Grande" w:hAnsi="Lucida Grande" w:cs="Lucida Grande"/>
      <w:sz w:val="18"/>
      <w:szCs w:val="18"/>
    </w:rPr>
  </w:style>
  <w:style w:type="character" w:styleId="Hyperlink">
    <w:name w:val="Hyperlink"/>
    <w:basedOn w:val="DefaultParagraphFont"/>
    <w:uiPriority w:val="99"/>
    <w:unhideWhenUsed/>
    <w:rsid w:val="003E386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D1AEA"/>
    <w:rPr>
      <w:rFonts w:ascii="Arial" w:eastAsia="Times New Roman" w:hAnsi="Arial" w:cs="Arial"/>
      <w:lang w:bidi="en-US"/>
    </w:rPr>
  </w:style>
  <w:style w:type="character" w:customStyle="1" w:styleId="BodyTextChar">
    <w:name w:val="Body Text Char"/>
    <w:basedOn w:val="DefaultParagraphFont"/>
    <w:link w:val="BodyText"/>
    <w:rsid w:val="005D1AEA"/>
    <w:rPr>
      <w:rFonts w:ascii="Arial" w:eastAsia="Times New Roman" w:hAnsi="Arial" w:cs="Arial"/>
      <w:lang w:bidi="en-US"/>
    </w:rPr>
  </w:style>
  <w:style w:type="paragraph" w:styleId="BalloonText">
    <w:name w:val="Balloon Text"/>
    <w:basedOn w:val="Normal"/>
    <w:link w:val="BalloonTextChar"/>
    <w:uiPriority w:val="99"/>
    <w:semiHidden/>
    <w:unhideWhenUsed/>
    <w:rsid w:val="005D1A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1AEA"/>
    <w:rPr>
      <w:rFonts w:ascii="Lucida Grande" w:hAnsi="Lucida Grande" w:cs="Lucida Grande"/>
      <w:sz w:val="18"/>
      <w:szCs w:val="18"/>
    </w:rPr>
  </w:style>
  <w:style w:type="character" w:styleId="Hyperlink">
    <w:name w:val="Hyperlink"/>
    <w:basedOn w:val="DefaultParagraphFont"/>
    <w:uiPriority w:val="99"/>
    <w:unhideWhenUsed/>
    <w:rsid w:val="003E38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1273</Words>
  <Characters>7259</Characters>
  <Application>Microsoft Macintosh Word</Application>
  <DocSecurity>0</DocSecurity>
  <Lines>60</Lines>
  <Paragraphs>17</Paragraphs>
  <ScaleCrop>false</ScaleCrop>
  <Company/>
  <LinksUpToDate>false</LinksUpToDate>
  <CharactersWithSpaces>8515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dc:creator>
  <cp:keywords/>
  <dc:description/>
  <cp:lastModifiedBy>Serena</cp:lastModifiedBy>
  <cp:revision>2</cp:revision>
  <dcterms:created xsi:type="dcterms:W3CDTF">2014-05-30T03:49:00Z</dcterms:created>
  <dcterms:modified xsi:type="dcterms:W3CDTF">2014-05-30T03:49:00Z</dcterms:modified>
</cp:coreProperties>
</file>