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80"/>
        <w:ind w:left="0" w:firstLine="0"/>
        <w:jc w:val="left"/>
      </w:pPr>
      <w:r>
        <w:rPr>
          <w:rFonts w:ascii="Calibri" w:hAnsi="Calibri" w:eastAsia="Calibri"/>
          <w:b/>
          <w:color w:val="0F766E"/>
          <w:sz w:val="19"/>
        </w:rPr>
        <w:t>FUTURE-STATE REFERENCE ARCHITECTURE</w:t>
      </w:r>
    </w:p>
    <w:p>
      <w:pPr>
        <w:pStyle w:val="Title"/>
      </w:pPr>
      <w:r>
        <w:t>Agentic PDLC</w:t>
        <w:br/>
        <w:t>Context Framework</w:t>
      </w:r>
    </w:p>
    <w:p>
      <w:pPr>
        <w:pStyle w:val="Subtitle"/>
      </w:pPr>
      <w:r>
        <w:t>Target-State Vision, Architectural Principles and Enterprise Design</w:t>
      </w:r>
    </w:p>
    <w:p>
      <w:pPr>
        <w:spacing w:after="360"/>
        <w:pBdr>
          <w:bottom w:val="single" w:sz="18" w:space="4" w:color="0F766E"/>
        </w:pBdr>
      </w:pPr>
    </w:p>
    <w:p>
      <w:pPr>
        <w:keepLines/>
        <w:spacing w:before="100" w:after="200"/>
        <w:ind w:left="202" w:right="144"/>
        <w:shd w:fill="ECFDF5"/>
        <w:pBdr>
          <w:left w:val="single" w:sz="22" w:space="8" w:color="0F766E"/>
        </w:pBdr>
      </w:pPr>
      <w:r>
        <w:rPr>
          <w:rFonts w:ascii="Calibri" w:hAnsi="Calibri" w:eastAsia="Calibri"/>
          <w:b/>
          <w:color w:val="0F766E"/>
          <w:sz w:val="18"/>
        </w:rPr>
        <w:t xml:space="preserve">EXECUTIVE PROPOSITION  </w:t>
      </w:r>
      <w:r>
        <w:rPr>
          <w:rFonts w:ascii="Calibri" w:hAnsi="Calibri" w:eastAsia="Calibri"/>
          <w:b w:val="0"/>
          <w:color w:val="0F172A"/>
          <w:sz w:val="20"/>
        </w:rPr>
        <w:t>A governed context fabric that converts heterogeneous enterprise facts into reproducible impact decisions, bounded agentic work and verifiable delivery evidence.</w:t>
      </w:r>
    </w:p>
    <w:p>
      <w:pPr>
        <w:keepLines w:val="0"/>
        <w:spacing w:after="120"/>
        <w:ind w:left="0" w:right="0" w:firstLine="0"/>
        <w:jc w:val="left"/>
      </w:pPr>
      <w:r>
        <w:rPr>
          <w:rFonts w:ascii="Calibri" w:hAnsi="Calibri" w:eastAsia="Calibri"/>
          <w:b/>
          <w:color w:val="0F172A"/>
        </w:rPr>
        <w:t>Prepared for:</w:t>
      </w:r>
      <w:r>
        <w:rPr>
          <w:rFonts w:ascii="Calibri" w:hAnsi="Calibri" w:eastAsia="Calibri"/>
          <w:i w:val="0"/>
          <w:color w:val="0F172A"/>
        </w:rPr>
        <w:t xml:space="preserve"> Executive Leadership, Enterprise Architecture, Product and Engineering</w:t>
      </w:r>
    </w:p>
    <w:p>
      <w:pPr>
        <w:keepLines w:val="0"/>
        <w:spacing w:after="120"/>
        <w:ind w:left="0" w:right="0" w:firstLine="0"/>
        <w:jc w:val="left"/>
      </w:pPr>
      <w:r>
        <w:rPr>
          <w:rFonts w:ascii="Calibri" w:hAnsi="Calibri" w:eastAsia="Calibri"/>
          <w:b/>
          <w:color w:val="0F172A"/>
        </w:rPr>
        <w:t>Document status:</w:t>
      </w:r>
      <w:r>
        <w:rPr>
          <w:rFonts w:ascii="Calibri" w:hAnsi="Calibri" w:eastAsia="Calibri"/>
          <w:i w:val="0"/>
          <w:color w:val="0F172A"/>
        </w:rPr>
        <w:t xml:space="preserve"> Target State - Leadership Review</w:t>
      </w:r>
    </w:p>
    <w:p>
      <w:pPr>
        <w:keepLines w:val="0"/>
        <w:spacing w:after="120"/>
        <w:ind w:left="0" w:right="0" w:firstLine="0"/>
        <w:jc w:val="left"/>
      </w:pPr>
      <w:r>
        <w:rPr>
          <w:rFonts w:ascii="Calibri" w:hAnsi="Calibri" w:eastAsia="Calibri"/>
          <w:b/>
          <w:color w:val="0F172A"/>
        </w:rPr>
        <w:t>Scope:</w:t>
      </w:r>
      <w:r>
        <w:rPr>
          <w:rFonts w:ascii="Calibri" w:hAnsi="Calibri" w:eastAsia="Calibri"/>
          <w:i w:val="0"/>
          <w:color w:val="0F172A"/>
        </w:rPr>
        <w:t xml:space="preserve"> Vendor-neutral, implementation-agnostic framework vision</w:t>
      </w:r>
    </w:p>
    <w:p>
      <w:pPr>
        <w:keepLines w:val="0"/>
        <w:spacing w:after="120"/>
        <w:ind w:left="0" w:right="0" w:firstLine="0"/>
        <w:jc w:val="left"/>
      </w:pPr>
      <w:r>
        <w:rPr>
          <w:rFonts w:ascii="Calibri" w:hAnsi="Calibri" w:eastAsia="Calibri"/>
          <w:b/>
          <w:color w:val="0F172A"/>
        </w:rPr>
        <w:t>Version:</w:t>
      </w:r>
      <w:r>
        <w:rPr>
          <w:rFonts w:ascii="Calibri" w:hAnsi="Calibri" w:eastAsia="Calibri"/>
          <w:i w:val="0"/>
          <w:color w:val="0F172A"/>
        </w:rPr>
        <w:t xml:space="preserve"> 1.0 | 25 August 2026</w:t>
      </w:r>
    </w:p>
    <w:p>
      <w:pPr>
        <w:spacing w:before="840"/>
        <w:jc w:val="left"/>
      </w:pPr>
      <w:r>
        <w:rPr>
          <w:rFonts w:ascii="Calibri" w:hAnsi="Calibri" w:eastAsia="Calibri"/>
          <w:b/>
          <w:color w:val="0F766E"/>
          <w:sz w:val="17"/>
        </w:rPr>
        <w:t>CONTEXT BEFORE AUTONOMY  |  EVIDENCE BEFORE RELEASE  |  EXPLAINABILITY BY DESIGN</w:t>
      </w:r>
    </w:p>
    <w:p>
      <w:r>
        <w:br w:type="page"/>
      </w:r>
    </w:p>
    <w:p>
      <w:pPr>
        <w:spacing w:after="80"/>
        <w:ind w:left="0" w:firstLine="0"/>
        <w:jc w:val="left"/>
      </w:pPr>
      <w:r>
        <w:rPr>
          <w:rFonts w:ascii="Calibri" w:hAnsi="Calibri" w:eastAsia="Calibri"/>
          <w:b/>
          <w:color w:val="0F766E"/>
          <w:sz w:val="19"/>
        </w:rPr>
        <w:t>EXECUTIVE PERSPECTIVE</w:t>
      </w:r>
    </w:p>
    <w:p>
      <w:pPr>
        <w:pStyle w:val="Heading1"/>
      </w:pPr>
      <w:r>
        <w:t>The strategic intent</w:t>
      </w:r>
    </w:p>
    <w:p>
      <w:pPr>
        <w:keepLines/>
        <w:spacing w:before="100" w:after="200"/>
        <w:ind w:left="202" w:right="144"/>
        <w:shd w:fill="EFF6FF"/>
        <w:pBdr>
          <w:left w:val="single" w:sz="22" w:space="8" w:color="2563EB"/>
        </w:pBdr>
      </w:pPr>
      <w:r>
        <w:rPr>
          <w:rFonts w:ascii="Calibri" w:hAnsi="Calibri" w:eastAsia="Calibri"/>
          <w:b/>
          <w:color w:val="2563EB"/>
          <w:sz w:val="18"/>
        </w:rPr>
        <w:t xml:space="preserve">LEADERSHIP MESSAGE  </w:t>
      </w:r>
      <w:r>
        <w:rPr>
          <w:rFonts w:ascii="Calibri" w:hAnsi="Calibri" w:eastAsia="Calibri"/>
          <w:b w:val="0"/>
          <w:color w:val="0F172A"/>
          <w:sz w:val="20"/>
        </w:rPr>
        <w:t>This platform is not a chain of autonomous agents. It is a governed delivery decision system in which agents propose and execute work, while deterministic controls authorize every consequential state transition.</w:t>
      </w:r>
    </w:p>
    <w:p>
      <w:pPr>
        <w:keepLines w:val="0"/>
        <w:spacing w:after="120"/>
        <w:ind w:left="0" w:right="0" w:firstLine="0"/>
        <w:jc w:val="left"/>
      </w:pPr>
      <w:r>
        <w:rPr>
          <w:rFonts w:ascii="Calibri" w:hAnsi="Calibri" w:eastAsia="Calibri"/>
          <w:i w:val="0"/>
          <w:color w:val="0F172A"/>
        </w:rPr>
        <w:t>The target framework creates a durable context and evidence layer across the product delivery lifecycle. It connects business intent, architecture, code, tests, release decisions and operational outcomes without replacing the enterprise systems that own those records. The result is a shared, temporal model of why a change exists, what it can affect, what must be tested, what evidence was observed and who authorized progression.</w:t>
      </w:r>
    </w:p>
    <w:p>
      <w:pPr>
        <w:keepLines w:val="0"/>
        <w:spacing w:after="120"/>
        <w:ind w:left="0" w:right="0" w:firstLine="0"/>
        <w:jc w:val="left"/>
      </w:pPr>
      <w:r>
        <w:rPr>
          <w:rFonts w:ascii="Calibri" w:hAnsi="Calibri" w:eastAsia="Calibri"/>
          <w:i w:val="0"/>
          <w:color w:val="0F172A"/>
        </w:rPr>
        <w:t>The differentiating capability is Impact Intelligence: one canonical, explainable assessment derived from a revision pair and multiple relationship signals. Design, implementation containment, QA selection and release risk all consume that same assessment under different policy lenses. Uncertainty and missing context remain visible rather than being converted into false confidence.</w:t>
      </w:r>
    </w:p>
    <w:p>
      <w:pPr>
        <w:pStyle w:val="Heading2"/>
      </w:pPr>
      <w:r>
        <w:t>What leadership is enabling</w:t>
      </w:r>
    </w:p>
    <w:p>
      <w:pPr>
        <w:pStyle w:val="ListBullet"/>
        <w:spacing w:after="100"/>
      </w:pPr>
      <w:r>
        <w:rPr>
          <w:rFonts w:ascii="Calibri" w:hAnsi="Calibri" w:eastAsia="Calibri"/>
          <w:b/>
          <w:color w:val="0F172A"/>
        </w:rPr>
        <w:t>Faster flow with bounded autonomy.</w:t>
      </w:r>
      <w:r>
        <w:rPr>
          <w:rFonts w:ascii="Calibri" w:hAnsi="Calibri" w:eastAsia="Calibri"/>
          <w:color w:val="0F172A"/>
        </w:rPr>
        <w:t xml:space="preserve"> Agents work inside explicit scope, budget, tool and data boundaries.</w:t>
      </w:r>
    </w:p>
    <w:p>
      <w:pPr>
        <w:pStyle w:val="ListBullet"/>
        <w:spacing w:after="100"/>
      </w:pPr>
      <w:r>
        <w:rPr>
          <w:rFonts w:ascii="Calibri" w:hAnsi="Calibri" w:eastAsia="Calibri"/>
          <w:b/>
          <w:color w:val="0F172A"/>
        </w:rPr>
        <w:t>Risk-based assurance.</w:t>
      </w:r>
      <w:r>
        <w:rPr>
          <w:rFonts w:ascii="Calibri" w:hAnsi="Calibri" w:eastAsia="Calibri"/>
          <w:color w:val="0F172A"/>
        </w:rPr>
        <w:t xml:space="preserve"> Test obligations and release controls follow the actual change and its explained downstream consequences.</w:t>
      </w:r>
    </w:p>
    <w:p>
      <w:pPr>
        <w:pStyle w:val="ListBullet"/>
        <w:spacing w:after="100"/>
      </w:pPr>
      <w:r>
        <w:rPr>
          <w:rFonts w:ascii="Calibri" w:hAnsi="Calibri" w:eastAsia="Calibri"/>
          <w:b/>
          <w:color w:val="0F172A"/>
        </w:rPr>
        <w:t>Enterprise adaptability without client forks.</w:t>
      </w:r>
      <w:r>
        <w:rPr>
          <w:rFonts w:ascii="Calibri" w:hAnsi="Calibri" w:eastAsia="Calibri"/>
          <w:color w:val="0F172A"/>
        </w:rPr>
        <w:t xml:space="preserve"> Connectors, analyzers, agents, test frameworks and deployment tools are replaceable behind governed contracts.</w:t>
      </w:r>
    </w:p>
    <w:p>
      <w:pPr>
        <w:pStyle w:val="ListBullet"/>
        <w:spacing w:after="100"/>
      </w:pPr>
      <w:r>
        <w:rPr>
          <w:rFonts w:ascii="Calibri" w:hAnsi="Calibri" w:eastAsia="Calibri"/>
          <w:b/>
          <w:color w:val="0F172A"/>
        </w:rPr>
        <w:t>Audit-ready decisions.</w:t>
      </w:r>
      <w:r>
        <w:rPr>
          <w:rFonts w:ascii="Calibri" w:hAnsi="Calibri" w:eastAsia="Calibri"/>
          <w:color w:val="0F172A"/>
        </w:rPr>
        <w:t xml:space="preserve"> Every important outcome is reproducible from the project, revision, snapshot, policy, execution attempt and evidence set.</w:t>
      </w:r>
    </w:p>
    <w:p>
      <w:pPr>
        <w:pStyle w:val="ListBullet"/>
        <w:spacing w:after="100"/>
      </w:pPr>
      <w:r>
        <w:rPr>
          <w:rFonts w:ascii="Calibri" w:hAnsi="Calibri" w:eastAsia="Calibri"/>
          <w:b/>
          <w:color w:val="0F172A"/>
        </w:rPr>
        <w:t>A learning system with controls.</w:t>
      </w:r>
      <w:r>
        <w:rPr>
          <w:rFonts w:ascii="Calibri" w:hAnsi="Calibri" w:eastAsia="Calibri"/>
          <w:color w:val="0F172A"/>
        </w:rPr>
        <w:t xml:space="preserve"> Improvements are evaluated, versioned, approved, canaried and reversible; agents do not silently rewrite their own guardrails.</w:t>
      </w:r>
    </w:p>
    <w:p>
      <w:pPr>
        <w:pStyle w:val="Heading2"/>
      </w:pPr>
      <w:r>
        <w:t>Leadership decisions requested</w:t>
      </w:r>
    </w:p>
    <w:p>
      <w:pPr>
        <w:pStyle w:val="ListNumber"/>
        <w:spacing w:after="100"/>
        <w:numPr>
          <w:ilvl w:val="0"/>
          <w:numId w:val="10"/>
        </w:numPr>
      </w:pPr>
      <w:r>
        <w:rPr>
          <w:rFonts w:ascii="Calibri" w:hAnsi="Calibri" w:eastAsia="Calibri"/>
          <w:color w:val="0F172A"/>
        </w:rPr>
        <w:t>Endorse the context fabric and canonical Impact Engine as strategic platform capabilities, not utilities embedded inside individual agents.</w:t>
      </w:r>
    </w:p>
    <w:p>
      <w:pPr>
        <w:pStyle w:val="ListNumber"/>
        <w:spacing w:after="100"/>
        <w:numPr>
          <w:ilvl w:val="0"/>
          <w:numId w:val="10"/>
        </w:numPr>
      </w:pPr>
      <w:r>
        <w:rPr>
          <w:rFonts w:ascii="Calibri" w:hAnsi="Calibri" w:eastAsia="Calibri"/>
          <w:color w:val="0F172A"/>
        </w:rPr>
        <w:t>Fund framework correctness - identity, temporal truth, provider contracts, evaluation and security - ahead of broad connector or agent breadth.</w:t>
      </w:r>
    </w:p>
    <w:p>
      <w:pPr>
        <w:pStyle w:val="ListNumber"/>
        <w:spacing w:after="100"/>
        <w:numPr>
          <w:ilvl w:val="0"/>
          <w:numId w:val="10"/>
        </w:numPr>
      </w:pPr>
      <w:r>
        <w:rPr>
          <w:rFonts w:ascii="Calibri" w:hAnsi="Calibri" w:eastAsia="Calibri"/>
          <w:color w:val="0F172A"/>
        </w:rPr>
        <w:t>Adopt a hybrid execution posture in which sensitive code, credentials and test data can remain inside the client boundary.</w:t>
      </w:r>
    </w:p>
    <w:p>
      <w:pPr>
        <w:pStyle w:val="ListNumber"/>
        <w:spacing w:after="100"/>
        <w:numPr>
          <w:ilvl w:val="0"/>
          <w:numId w:val="10"/>
        </w:numPr>
      </w:pPr>
      <w:r>
        <w:rPr>
          <w:rFonts w:ascii="Calibri" w:hAnsi="Calibri" w:eastAsia="Calibri"/>
          <w:color w:val="0F172A"/>
        </w:rPr>
        <w:t>Establish design partners and measurable proof thresholds for impact recall, test-selection misses, evidence completeness and cycle-time improvement.</w:t>
      </w:r>
    </w:p>
    <w:p>
      <w:r>
        <w:br w:type="page"/>
      </w:r>
    </w:p>
    <w:p>
      <w:pPr>
        <w:spacing w:after="80"/>
        <w:ind w:left="0" w:firstLine="0"/>
        <w:jc w:val="left"/>
      </w:pPr>
      <w:r>
        <w:rPr>
          <w:rFonts w:ascii="Calibri" w:hAnsi="Calibri" w:eastAsia="Calibri"/>
          <w:b/>
          <w:color w:val="0F766E"/>
          <w:sz w:val="19"/>
        </w:rPr>
        <w:t>DOCUMENT MAP</w:t>
      </w:r>
    </w:p>
    <w:p>
      <w:pPr>
        <w:pStyle w:val="Heading1"/>
      </w:pPr>
      <w:r>
        <w:t>How to read this architecture</w:t>
      </w:r>
    </w:p>
    <w:p>
      <w:pPr>
        <w:keepLines w:val="0"/>
        <w:spacing w:after="120"/>
        <w:ind w:left="0" w:right="0" w:firstLine="0"/>
        <w:jc w:val="left"/>
      </w:pPr>
      <w:r>
        <w:rPr>
          <w:rFonts w:ascii="Calibri" w:hAnsi="Calibri" w:eastAsia="Calibri"/>
          <w:i w:val="0"/>
          <w:color w:val="0F172A"/>
        </w:rPr>
        <w:t>The document moves from strategic intent to the core semantic model, then zooms into impact intelligence, assurance execution, pluggability, security and the governed learning loop.</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00"/>
        <w:gridCol w:w="2500"/>
        <w:gridCol w:w="5960"/>
      </w:tblGrid>
      <w:tr>
        <w:trPr>
          <w:tblHeader w:val="true"/>
        </w:trPr>
        <w:tc>
          <w:tcPr>
            <w:tcW w:type="dxa" w:w="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Section</w:t>
            </w:r>
          </w:p>
        </w:tc>
        <w:tc>
          <w:tcPr>
            <w:tcW w:type="dxa" w:w="25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Topic</w:t>
            </w:r>
          </w:p>
        </w:tc>
        <w:tc>
          <w:tcPr>
            <w:tcW w:type="dxa" w:w="59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Purpose</w:t>
            </w:r>
          </w:p>
        </w:tc>
      </w:tr>
      <w:tr>
        <w:tc>
          <w:tcPr>
            <w:tcW w:type="dxa" w:w="900"/>
          </w:tcPr>
          <w:p>
            <w:pPr>
              <w:spacing w:after="0" w:line="252" w:lineRule="auto"/>
            </w:pPr>
            <w:r>
              <w:rPr>
                <w:rFonts w:ascii="Calibri" w:hAnsi="Calibri" w:eastAsia="Calibri"/>
                <w:b/>
                <w:color w:val="0F172A"/>
                <w:sz w:val="18"/>
              </w:rPr>
              <w:t>1</w:t>
            </w:r>
          </w:p>
        </w:tc>
        <w:tc>
          <w:tcPr>
            <w:tcW w:type="dxa" w:w="2500"/>
          </w:tcPr>
          <w:p>
            <w:pPr>
              <w:spacing w:after="0" w:line="252" w:lineRule="auto"/>
            </w:pPr>
            <w:r>
              <w:rPr>
                <w:rFonts w:ascii="Calibri" w:hAnsi="Calibri" w:eastAsia="Calibri"/>
                <w:b w:val="0"/>
                <w:color w:val="0F172A"/>
                <w:sz w:val="18"/>
              </w:rPr>
              <w:t>Vision and outcomes</w:t>
            </w:r>
          </w:p>
        </w:tc>
        <w:tc>
          <w:tcPr>
            <w:tcW w:type="dxa" w:w="5960"/>
          </w:tcPr>
          <w:p>
            <w:pPr>
              <w:spacing w:after="0" w:line="252" w:lineRule="auto"/>
            </w:pPr>
            <w:r>
              <w:rPr>
                <w:rFonts w:ascii="Calibri" w:hAnsi="Calibri" w:eastAsia="Calibri"/>
                <w:b w:val="0"/>
                <w:color w:val="0F172A"/>
                <w:sz w:val="18"/>
              </w:rPr>
              <w:t>Why the framework exists and the capabilities it must create.</w:t>
            </w:r>
          </w:p>
        </w:tc>
      </w:tr>
      <w:tr>
        <w:tc>
          <w:tcPr>
            <w:tcW w:type="dxa" w:w="900"/>
            <w:shd w:fill="F8FAFC"/>
          </w:tcPr>
          <w:p>
            <w:pPr>
              <w:spacing w:after="0" w:line="252" w:lineRule="auto"/>
            </w:pPr>
            <w:r>
              <w:rPr>
                <w:rFonts w:ascii="Calibri" w:hAnsi="Calibri" w:eastAsia="Calibri"/>
                <w:b/>
                <w:color w:val="0F172A"/>
                <w:sz w:val="18"/>
              </w:rPr>
              <w:t>2</w:t>
            </w:r>
          </w:p>
        </w:tc>
        <w:tc>
          <w:tcPr>
            <w:tcW w:type="dxa" w:w="2500"/>
            <w:shd w:fill="F8FAFC"/>
          </w:tcPr>
          <w:p>
            <w:pPr>
              <w:spacing w:after="0" w:line="252" w:lineRule="auto"/>
            </w:pPr>
            <w:r>
              <w:rPr>
                <w:rFonts w:ascii="Calibri" w:hAnsi="Calibri" w:eastAsia="Calibri"/>
                <w:b w:val="0"/>
                <w:color w:val="0F172A"/>
                <w:sz w:val="18"/>
              </w:rPr>
              <w:t>Architectural tenets</w:t>
            </w:r>
          </w:p>
        </w:tc>
        <w:tc>
          <w:tcPr>
            <w:tcW w:type="dxa" w:w="5960"/>
            <w:shd w:fill="F8FAFC"/>
          </w:tcPr>
          <w:p>
            <w:pPr>
              <w:spacing w:after="0" w:line="252" w:lineRule="auto"/>
            </w:pPr>
            <w:r>
              <w:rPr>
                <w:rFonts w:ascii="Calibri" w:hAnsi="Calibri" w:eastAsia="Calibri"/>
                <w:b w:val="0"/>
                <w:color w:val="0F172A"/>
                <w:sz w:val="18"/>
              </w:rPr>
              <w:t>The non-negotiable rules that protect the future platform.</w:t>
            </w:r>
          </w:p>
        </w:tc>
      </w:tr>
      <w:tr>
        <w:tc>
          <w:tcPr>
            <w:tcW w:type="dxa" w:w="900"/>
          </w:tcPr>
          <w:p>
            <w:pPr>
              <w:spacing w:after="0" w:line="252" w:lineRule="auto"/>
            </w:pPr>
            <w:r>
              <w:rPr>
                <w:rFonts w:ascii="Calibri" w:hAnsi="Calibri" w:eastAsia="Calibri"/>
                <w:b/>
                <w:color w:val="0F172A"/>
                <w:sz w:val="18"/>
              </w:rPr>
              <w:t>3</w:t>
            </w:r>
          </w:p>
        </w:tc>
        <w:tc>
          <w:tcPr>
            <w:tcW w:type="dxa" w:w="2500"/>
          </w:tcPr>
          <w:p>
            <w:pPr>
              <w:spacing w:after="0" w:line="252" w:lineRule="auto"/>
            </w:pPr>
            <w:r>
              <w:rPr>
                <w:rFonts w:ascii="Calibri" w:hAnsi="Calibri" w:eastAsia="Calibri"/>
                <w:b w:val="0"/>
                <w:color w:val="0F172A"/>
                <w:sz w:val="18"/>
              </w:rPr>
              <w:t>End-to-end reference architecture</w:t>
            </w:r>
          </w:p>
        </w:tc>
        <w:tc>
          <w:tcPr>
            <w:tcW w:type="dxa" w:w="5960"/>
          </w:tcPr>
          <w:p>
            <w:pPr>
              <w:spacing w:after="0" w:line="252" w:lineRule="auto"/>
            </w:pPr>
            <w:r>
              <w:rPr>
                <w:rFonts w:ascii="Calibri" w:hAnsi="Calibri" w:eastAsia="Calibri"/>
                <w:b w:val="0"/>
                <w:color w:val="0F172A"/>
                <w:sz w:val="18"/>
              </w:rPr>
              <w:t>How governed work flows from intent through operations.</w:t>
            </w:r>
          </w:p>
        </w:tc>
      </w:tr>
      <w:tr>
        <w:tc>
          <w:tcPr>
            <w:tcW w:type="dxa" w:w="900"/>
            <w:shd w:fill="F8FAFC"/>
          </w:tcPr>
          <w:p>
            <w:pPr>
              <w:spacing w:after="0" w:line="252" w:lineRule="auto"/>
            </w:pPr>
            <w:r>
              <w:rPr>
                <w:rFonts w:ascii="Calibri" w:hAnsi="Calibri" w:eastAsia="Calibri"/>
                <w:b/>
                <w:color w:val="0F172A"/>
                <w:sz w:val="18"/>
              </w:rPr>
              <w:t>4</w:t>
            </w:r>
          </w:p>
        </w:tc>
        <w:tc>
          <w:tcPr>
            <w:tcW w:type="dxa" w:w="2500"/>
            <w:shd w:fill="F8FAFC"/>
          </w:tcPr>
          <w:p>
            <w:pPr>
              <w:spacing w:after="0" w:line="252" w:lineRule="auto"/>
            </w:pPr>
            <w:r>
              <w:rPr>
                <w:rFonts w:ascii="Calibri" w:hAnsi="Calibri" w:eastAsia="Calibri"/>
                <w:b w:val="0"/>
                <w:color w:val="0F172A"/>
                <w:sz w:val="18"/>
              </w:rPr>
              <w:t>Context and evidence fabric</w:t>
            </w:r>
          </w:p>
        </w:tc>
        <w:tc>
          <w:tcPr>
            <w:tcW w:type="dxa" w:w="5960"/>
            <w:shd w:fill="F8FAFC"/>
          </w:tcPr>
          <w:p>
            <w:pPr>
              <w:spacing w:after="0" w:line="252" w:lineRule="auto"/>
            </w:pPr>
            <w:r>
              <w:rPr>
                <w:rFonts w:ascii="Calibri" w:hAnsi="Calibri" w:eastAsia="Calibri"/>
                <w:b w:val="0"/>
                <w:color w:val="0F172A"/>
                <w:sz w:val="18"/>
              </w:rPr>
              <w:t>How enterprise truth becomes temporal, trusted context.</w:t>
            </w:r>
          </w:p>
        </w:tc>
      </w:tr>
      <w:tr>
        <w:tc>
          <w:tcPr>
            <w:tcW w:type="dxa" w:w="900"/>
          </w:tcPr>
          <w:p>
            <w:pPr>
              <w:spacing w:after="0" w:line="252" w:lineRule="auto"/>
            </w:pPr>
            <w:r>
              <w:rPr>
                <w:rFonts w:ascii="Calibri" w:hAnsi="Calibri" w:eastAsia="Calibri"/>
                <w:b/>
                <w:color w:val="0F172A"/>
                <w:sz w:val="18"/>
              </w:rPr>
              <w:t>5</w:t>
            </w:r>
          </w:p>
        </w:tc>
        <w:tc>
          <w:tcPr>
            <w:tcW w:type="dxa" w:w="2500"/>
          </w:tcPr>
          <w:p>
            <w:pPr>
              <w:spacing w:after="0" w:line="252" w:lineRule="auto"/>
            </w:pPr>
            <w:r>
              <w:rPr>
                <w:rFonts w:ascii="Calibri" w:hAnsi="Calibri" w:eastAsia="Calibri"/>
                <w:b w:val="0"/>
                <w:color w:val="0F172A"/>
                <w:sz w:val="18"/>
              </w:rPr>
              <w:t>Semantic and temporal model</w:t>
            </w:r>
          </w:p>
        </w:tc>
        <w:tc>
          <w:tcPr>
            <w:tcW w:type="dxa" w:w="5960"/>
          </w:tcPr>
          <w:p>
            <w:pPr>
              <w:spacing w:after="0" w:line="252" w:lineRule="auto"/>
            </w:pPr>
            <w:r>
              <w:rPr>
                <w:rFonts w:ascii="Calibri" w:hAnsi="Calibri" w:eastAsia="Calibri"/>
                <w:b w:val="0"/>
                <w:color w:val="0F172A"/>
                <w:sz w:val="18"/>
              </w:rPr>
              <w:t>Identity, revisions, assertions, snapshots and evidence.</w:t>
            </w:r>
          </w:p>
        </w:tc>
      </w:tr>
      <w:tr>
        <w:tc>
          <w:tcPr>
            <w:tcW w:type="dxa" w:w="900"/>
            <w:shd w:fill="F8FAFC"/>
          </w:tcPr>
          <w:p>
            <w:pPr>
              <w:spacing w:after="0" w:line="252" w:lineRule="auto"/>
            </w:pPr>
            <w:r>
              <w:rPr>
                <w:rFonts w:ascii="Calibri" w:hAnsi="Calibri" w:eastAsia="Calibri"/>
                <w:b/>
                <w:color w:val="0F172A"/>
                <w:sz w:val="18"/>
              </w:rPr>
              <w:t>6</w:t>
            </w:r>
          </w:p>
        </w:tc>
        <w:tc>
          <w:tcPr>
            <w:tcW w:type="dxa" w:w="2500"/>
            <w:shd w:fill="F8FAFC"/>
          </w:tcPr>
          <w:p>
            <w:pPr>
              <w:spacing w:after="0" w:line="252" w:lineRule="auto"/>
            </w:pPr>
            <w:r>
              <w:rPr>
                <w:rFonts w:ascii="Calibri" w:hAnsi="Calibri" w:eastAsia="Calibri"/>
                <w:b w:val="0"/>
                <w:color w:val="0F172A"/>
                <w:sz w:val="18"/>
              </w:rPr>
              <w:t>Canonical Impact Engine</w:t>
            </w:r>
          </w:p>
        </w:tc>
        <w:tc>
          <w:tcPr>
            <w:tcW w:type="dxa" w:w="5960"/>
            <w:shd w:fill="F8FAFC"/>
          </w:tcPr>
          <w:p>
            <w:pPr>
              <w:spacing w:after="0" w:line="252" w:lineRule="auto"/>
            </w:pPr>
            <w:r>
              <w:rPr>
                <w:rFonts w:ascii="Calibri" w:hAnsi="Calibri" w:eastAsia="Calibri"/>
                <w:b w:val="0"/>
                <w:color w:val="0F172A"/>
                <w:sz w:val="18"/>
              </w:rPr>
              <w:t>How one explainable assessment drives every downstream decision.</w:t>
            </w:r>
          </w:p>
        </w:tc>
      </w:tr>
      <w:tr>
        <w:tc>
          <w:tcPr>
            <w:tcW w:type="dxa" w:w="900"/>
          </w:tcPr>
          <w:p>
            <w:pPr>
              <w:spacing w:after="0" w:line="252" w:lineRule="auto"/>
            </w:pPr>
            <w:r>
              <w:rPr>
                <w:rFonts w:ascii="Calibri" w:hAnsi="Calibri" w:eastAsia="Calibri"/>
                <w:b/>
                <w:color w:val="0F172A"/>
                <w:sz w:val="18"/>
              </w:rPr>
              <w:t>7</w:t>
            </w:r>
          </w:p>
        </w:tc>
        <w:tc>
          <w:tcPr>
            <w:tcW w:type="dxa" w:w="2500"/>
          </w:tcPr>
          <w:p>
            <w:pPr>
              <w:spacing w:after="0" w:line="252" w:lineRule="auto"/>
            </w:pPr>
            <w:r>
              <w:rPr>
                <w:rFonts w:ascii="Calibri" w:hAnsi="Calibri" w:eastAsia="Calibri"/>
                <w:b w:val="0"/>
                <w:color w:val="0F172A"/>
                <w:sz w:val="18"/>
              </w:rPr>
              <w:t>Quality, test data and evidence</w:t>
            </w:r>
          </w:p>
        </w:tc>
        <w:tc>
          <w:tcPr>
            <w:tcW w:type="dxa" w:w="5960"/>
          </w:tcPr>
          <w:p>
            <w:pPr>
              <w:spacing w:after="0" w:line="252" w:lineRule="auto"/>
            </w:pPr>
            <w:r>
              <w:rPr>
                <w:rFonts w:ascii="Calibri" w:hAnsi="Calibri" w:eastAsia="Calibri"/>
                <w:b w:val="0"/>
                <w:color w:val="0F172A"/>
                <w:sz w:val="18"/>
              </w:rPr>
              <w:t>How test obligations become isolated execution and auditable proof.</w:t>
            </w:r>
          </w:p>
        </w:tc>
      </w:tr>
      <w:tr>
        <w:tc>
          <w:tcPr>
            <w:tcW w:type="dxa" w:w="900"/>
            <w:shd w:fill="F8FAFC"/>
          </w:tcPr>
          <w:p>
            <w:pPr>
              <w:spacing w:after="0" w:line="252" w:lineRule="auto"/>
            </w:pPr>
            <w:r>
              <w:rPr>
                <w:rFonts w:ascii="Calibri" w:hAnsi="Calibri" w:eastAsia="Calibri"/>
                <w:b/>
                <w:color w:val="0F172A"/>
                <w:sz w:val="18"/>
              </w:rPr>
              <w:t>8</w:t>
            </w:r>
          </w:p>
        </w:tc>
        <w:tc>
          <w:tcPr>
            <w:tcW w:type="dxa" w:w="2500"/>
            <w:shd w:fill="F8FAFC"/>
          </w:tcPr>
          <w:p>
            <w:pPr>
              <w:spacing w:after="0" w:line="252" w:lineRule="auto"/>
            </w:pPr>
            <w:r>
              <w:rPr>
                <w:rFonts w:ascii="Calibri" w:hAnsi="Calibri" w:eastAsia="Calibri"/>
                <w:b w:val="0"/>
                <w:color w:val="0F172A"/>
                <w:sz w:val="18"/>
              </w:rPr>
              <w:t>BYO plugin framework</w:t>
            </w:r>
          </w:p>
        </w:tc>
        <w:tc>
          <w:tcPr>
            <w:tcW w:type="dxa" w:w="5960"/>
            <w:shd w:fill="F8FAFC"/>
          </w:tcPr>
          <w:p>
            <w:pPr>
              <w:spacing w:after="0" w:line="252" w:lineRule="auto"/>
            </w:pPr>
            <w:r>
              <w:rPr>
                <w:rFonts w:ascii="Calibri" w:hAnsi="Calibri" w:eastAsia="Calibri"/>
                <w:b w:val="0"/>
                <w:color w:val="0F172A"/>
                <w:sz w:val="18"/>
              </w:rPr>
              <w:t>How clients bring tools and implementations without platform forks.</w:t>
            </w:r>
          </w:p>
        </w:tc>
      </w:tr>
      <w:tr>
        <w:tc>
          <w:tcPr>
            <w:tcW w:type="dxa" w:w="900"/>
          </w:tcPr>
          <w:p>
            <w:pPr>
              <w:spacing w:after="0" w:line="252" w:lineRule="auto"/>
            </w:pPr>
            <w:r>
              <w:rPr>
                <w:rFonts w:ascii="Calibri" w:hAnsi="Calibri" w:eastAsia="Calibri"/>
                <w:b/>
                <w:color w:val="0F172A"/>
                <w:sz w:val="18"/>
              </w:rPr>
              <w:t>9</w:t>
            </w:r>
          </w:p>
        </w:tc>
        <w:tc>
          <w:tcPr>
            <w:tcW w:type="dxa" w:w="2500"/>
          </w:tcPr>
          <w:p>
            <w:pPr>
              <w:spacing w:after="0" w:line="252" w:lineRule="auto"/>
            </w:pPr>
            <w:r>
              <w:rPr>
                <w:rFonts w:ascii="Calibri" w:hAnsi="Calibri" w:eastAsia="Calibri"/>
                <w:b w:val="0"/>
                <w:color w:val="0F172A"/>
                <w:sz w:val="18"/>
              </w:rPr>
              <w:t>Security and deployment</w:t>
            </w:r>
          </w:p>
        </w:tc>
        <w:tc>
          <w:tcPr>
            <w:tcW w:type="dxa" w:w="5960"/>
          </w:tcPr>
          <w:p>
            <w:pPr>
              <w:spacing w:after="0" w:line="252" w:lineRule="auto"/>
            </w:pPr>
            <w:r>
              <w:rPr>
                <w:rFonts w:ascii="Calibri" w:hAnsi="Calibri" w:eastAsia="Calibri"/>
                <w:b w:val="0"/>
                <w:color w:val="0F172A"/>
                <w:sz w:val="18"/>
              </w:rPr>
              <w:t>How execution follows data across SaaS, hybrid and regulated environments.</w:t>
            </w:r>
          </w:p>
        </w:tc>
      </w:tr>
      <w:tr>
        <w:tc>
          <w:tcPr>
            <w:tcW w:type="dxa" w:w="900"/>
            <w:shd w:fill="F8FAFC"/>
          </w:tcPr>
          <w:p>
            <w:pPr>
              <w:spacing w:after="0" w:line="252" w:lineRule="auto"/>
            </w:pPr>
            <w:r>
              <w:rPr>
                <w:rFonts w:ascii="Calibri" w:hAnsi="Calibri" w:eastAsia="Calibri"/>
                <w:b/>
                <w:color w:val="0F172A"/>
                <w:sz w:val="18"/>
              </w:rPr>
              <w:t>10</w:t>
            </w:r>
          </w:p>
        </w:tc>
        <w:tc>
          <w:tcPr>
            <w:tcW w:type="dxa" w:w="2500"/>
            <w:shd w:fill="F8FAFC"/>
          </w:tcPr>
          <w:p>
            <w:pPr>
              <w:spacing w:after="0" w:line="252" w:lineRule="auto"/>
            </w:pPr>
            <w:r>
              <w:rPr>
                <w:rFonts w:ascii="Calibri" w:hAnsi="Calibri" w:eastAsia="Calibri"/>
                <w:b w:val="0"/>
                <w:color w:val="0F172A"/>
                <w:sz w:val="18"/>
              </w:rPr>
              <w:t>Evaluation, governance and roadmap</w:t>
            </w:r>
          </w:p>
        </w:tc>
        <w:tc>
          <w:tcPr>
            <w:tcW w:type="dxa" w:w="5960"/>
            <w:shd w:fill="F8FAFC"/>
          </w:tcPr>
          <w:p>
            <w:pPr>
              <w:spacing w:after="0" w:line="252" w:lineRule="auto"/>
            </w:pPr>
            <w:r>
              <w:rPr>
                <w:rFonts w:ascii="Calibri" w:hAnsi="Calibri" w:eastAsia="Calibri"/>
                <w:b w:val="0"/>
                <w:color w:val="0F172A"/>
                <w:sz w:val="18"/>
              </w:rPr>
              <w:t>How the platform improves safely and scales as a product.</w:t>
            </w:r>
          </w:p>
        </w:tc>
      </w:tr>
    </w:tbl>
    <w:p>
      <w:pPr>
        <w:spacing w:before="0" w:after="40"/>
      </w:pPr>
    </w:p>
    <w:p>
      <w:pPr>
        <w:keepLines/>
        <w:spacing w:before="100" w:after="200"/>
        <w:ind w:left="202" w:right="144"/>
        <w:shd w:fill="FFF7ED"/>
        <w:pBdr>
          <w:left w:val="single" w:sz="22" w:space="8" w:color="D97706"/>
        </w:pBdr>
      </w:pPr>
      <w:r>
        <w:rPr>
          <w:rFonts w:ascii="Calibri" w:hAnsi="Calibri" w:eastAsia="Calibri"/>
          <w:b/>
          <w:color w:val="D97706"/>
          <w:sz w:val="18"/>
        </w:rPr>
        <w:t xml:space="preserve">READING PRINCIPLE  </w:t>
      </w:r>
      <w:r>
        <w:rPr>
          <w:rFonts w:ascii="Calibri" w:hAnsi="Calibri" w:eastAsia="Calibri"/>
          <w:b w:val="0"/>
          <w:color w:val="0F172A"/>
          <w:sz w:val="20"/>
        </w:rPr>
        <w:t>The diagrams describe stable framework responsibilities and contracts. Products, vendors, storage technologies and models remain replaceable.</w:t>
      </w:r>
    </w:p>
    <w:p>
      <w:r>
        <w:br w:type="page"/>
      </w:r>
    </w:p>
    <w:p>
      <w:pPr>
        <w:spacing w:after="80"/>
        <w:ind w:left="0" w:firstLine="0"/>
        <w:jc w:val="left"/>
      </w:pPr>
      <w:r>
        <w:rPr>
          <w:rFonts w:ascii="Calibri" w:hAnsi="Calibri" w:eastAsia="Calibri"/>
          <w:b/>
          <w:color w:val="0F766E"/>
          <w:sz w:val="19"/>
        </w:rPr>
        <w:t>1 | VISION AND OUTCOMES</w:t>
      </w:r>
    </w:p>
    <w:p>
      <w:pPr>
        <w:pStyle w:val="Heading1"/>
      </w:pPr>
      <w:r>
        <w:t>North-star vision</w:t>
      </w:r>
    </w:p>
    <w:p>
      <w:pPr>
        <w:keepLines/>
        <w:spacing w:before="100" w:after="200"/>
        <w:ind w:left="202" w:right="144"/>
        <w:shd w:fill="ECFDF5"/>
        <w:pBdr>
          <w:left w:val="single" w:sz="22" w:space="8" w:color="0F766E"/>
        </w:pBdr>
      </w:pPr>
      <w:r>
        <w:rPr>
          <w:rFonts w:ascii="Calibri" w:hAnsi="Calibri" w:eastAsia="Calibri"/>
          <w:b/>
          <w:color w:val="0F766E"/>
          <w:sz w:val="18"/>
        </w:rPr>
        <w:t xml:space="preserve">VISION  </w:t>
      </w:r>
      <w:r>
        <w:rPr>
          <w:rFonts w:ascii="Calibri" w:hAnsi="Calibri" w:eastAsia="Calibri"/>
          <w:b w:val="0"/>
          <w:color w:val="0F172A"/>
          <w:sz w:val="20"/>
        </w:rPr>
        <w:t>A governed, temporally correct and extensible context fabric that turns enterprise facts into reproducible impact decisions and verifiable product-delivery evidence.</w:t>
      </w:r>
    </w:p>
    <w:p>
      <w:pPr>
        <w:keepLines w:val="0"/>
        <w:spacing w:after="120"/>
        <w:ind w:left="0" w:right="0" w:firstLine="0"/>
        <w:jc w:val="left"/>
      </w:pPr>
      <w:r>
        <w:rPr>
          <w:rFonts w:ascii="Calibri" w:hAnsi="Calibri" w:eastAsia="Calibri"/>
          <w:i w:val="0"/>
          <w:color w:val="0F172A"/>
        </w:rPr>
        <w:t>The framework provides the decision substrate for an end-to-end agentic PDLC. It does not attempt to replace Jira, Git, CI/CD, test management, observability, CMDB or ITSM. It resolves their identities, preserves their revisions and relationships, and exposes trusted context through common decision contracts.</w:t>
      </w:r>
    </w:p>
    <w:p>
      <w:pPr>
        <w:pStyle w:val="Heading2"/>
      </w:pPr>
      <w:r>
        <w:t>Target business outcomes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3000"/>
        <w:gridCol w:w="4660"/>
      </w:tblGrid>
      <w:tr>
        <w:trPr>
          <w:tblHeader w:val="true"/>
        </w:trPr>
        <w:tc>
          <w:tcPr>
            <w:tcW w:type="dxa" w:w="17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Outcome</w:t>
            </w:r>
          </w:p>
        </w:tc>
        <w:tc>
          <w:tcPr>
            <w:tcW w:type="dxa" w:w="30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Enterprise objective</w:t>
            </w:r>
          </w:p>
        </w:tc>
        <w:tc>
          <w:tcPr>
            <w:tcW w:type="dxa" w:w="46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Framework response</w:t>
            </w:r>
          </w:p>
        </w:tc>
      </w:tr>
      <w:tr>
        <w:tc>
          <w:tcPr>
            <w:tcW w:type="dxa" w:w="1700"/>
          </w:tcPr>
          <w:p>
            <w:pPr>
              <w:spacing w:after="0" w:line="252" w:lineRule="auto"/>
            </w:pPr>
            <w:r>
              <w:rPr>
                <w:rFonts w:ascii="Calibri" w:hAnsi="Calibri" w:eastAsia="Calibri"/>
                <w:b/>
                <w:color w:val="0F172A"/>
                <w:sz w:val="18"/>
              </w:rPr>
              <w:t>Delivery flow</w:t>
            </w:r>
          </w:p>
        </w:tc>
        <w:tc>
          <w:tcPr>
            <w:tcW w:type="dxa" w:w="3000"/>
          </w:tcPr>
          <w:p>
            <w:pPr>
              <w:spacing w:after="0" w:line="252" w:lineRule="auto"/>
            </w:pPr>
            <w:r>
              <w:rPr>
                <w:rFonts w:ascii="Calibri" w:hAnsi="Calibri" w:eastAsia="Calibri"/>
                <w:b w:val="0"/>
                <w:color w:val="0F172A"/>
                <w:sz w:val="18"/>
              </w:rPr>
              <w:t>Reduce handoff latency and repetitive analysis</w:t>
            </w:r>
          </w:p>
        </w:tc>
        <w:tc>
          <w:tcPr>
            <w:tcW w:type="dxa" w:w="4660"/>
          </w:tcPr>
          <w:p>
            <w:pPr>
              <w:spacing w:after="0" w:line="252" w:lineRule="auto"/>
            </w:pPr>
            <w:r>
              <w:rPr>
                <w:rFonts w:ascii="Calibri" w:hAnsi="Calibri" w:eastAsia="Calibri"/>
                <w:b w:val="0"/>
                <w:color w:val="0F172A"/>
                <w:sz w:val="18"/>
              </w:rPr>
              <w:t>Bounded agent work, reusable context, deterministic progression</w:t>
            </w:r>
          </w:p>
        </w:tc>
      </w:tr>
      <w:tr>
        <w:tc>
          <w:tcPr>
            <w:tcW w:type="dxa" w:w="1700"/>
            <w:shd w:fill="F8FAFC"/>
          </w:tcPr>
          <w:p>
            <w:pPr>
              <w:spacing w:after="0" w:line="252" w:lineRule="auto"/>
            </w:pPr>
            <w:r>
              <w:rPr>
                <w:rFonts w:ascii="Calibri" w:hAnsi="Calibri" w:eastAsia="Calibri"/>
                <w:b/>
                <w:color w:val="0F172A"/>
                <w:sz w:val="18"/>
              </w:rPr>
              <w:t>Change safety</w:t>
            </w:r>
          </w:p>
        </w:tc>
        <w:tc>
          <w:tcPr>
            <w:tcW w:type="dxa" w:w="3000"/>
            <w:shd w:fill="F8FAFC"/>
          </w:tcPr>
          <w:p>
            <w:pPr>
              <w:spacing w:after="0" w:line="252" w:lineRule="auto"/>
            </w:pPr>
            <w:r>
              <w:rPr>
                <w:rFonts w:ascii="Calibri" w:hAnsi="Calibri" w:eastAsia="Calibri"/>
                <w:b w:val="0"/>
                <w:color w:val="0F172A"/>
                <w:sz w:val="18"/>
              </w:rPr>
              <w:t>Find consequential downstream effects early</w:t>
            </w:r>
          </w:p>
        </w:tc>
        <w:tc>
          <w:tcPr>
            <w:tcW w:type="dxa" w:w="4660"/>
            <w:shd w:fill="F8FAFC"/>
          </w:tcPr>
          <w:p>
            <w:pPr>
              <w:spacing w:after="0" w:line="252" w:lineRule="auto"/>
            </w:pPr>
            <w:r>
              <w:rPr>
                <w:rFonts w:ascii="Calibri" w:hAnsi="Calibri" w:eastAsia="Calibri"/>
                <w:b w:val="0"/>
                <w:color w:val="0F172A"/>
                <w:sz w:val="18"/>
              </w:rPr>
              <w:t>Multi-signal impact paths, uncertainty and risk tiers</w:t>
            </w:r>
          </w:p>
        </w:tc>
      </w:tr>
      <w:tr>
        <w:tc>
          <w:tcPr>
            <w:tcW w:type="dxa" w:w="1700"/>
          </w:tcPr>
          <w:p>
            <w:pPr>
              <w:spacing w:after="0" w:line="252" w:lineRule="auto"/>
            </w:pPr>
            <w:r>
              <w:rPr>
                <w:rFonts w:ascii="Calibri" w:hAnsi="Calibri" w:eastAsia="Calibri"/>
                <w:b/>
                <w:color w:val="0F172A"/>
                <w:sz w:val="18"/>
              </w:rPr>
              <w:t>Quality economics</w:t>
            </w:r>
          </w:p>
        </w:tc>
        <w:tc>
          <w:tcPr>
            <w:tcW w:type="dxa" w:w="3000"/>
          </w:tcPr>
          <w:p>
            <w:pPr>
              <w:spacing w:after="0" w:line="252" w:lineRule="auto"/>
            </w:pPr>
            <w:r>
              <w:rPr>
                <w:rFonts w:ascii="Calibri" w:hAnsi="Calibri" w:eastAsia="Calibri"/>
                <w:b w:val="0"/>
                <w:color w:val="0F172A"/>
                <w:sz w:val="18"/>
              </w:rPr>
              <w:t>Run the smallest defensible test portfolio</w:t>
            </w:r>
          </w:p>
        </w:tc>
        <w:tc>
          <w:tcPr>
            <w:tcW w:type="dxa" w:w="4660"/>
          </w:tcPr>
          <w:p>
            <w:pPr>
              <w:spacing w:after="0" w:line="252" w:lineRule="auto"/>
            </w:pPr>
            <w:r>
              <w:rPr>
                <w:rFonts w:ascii="Calibri" w:hAnsi="Calibri" w:eastAsia="Calibri"/>
                <w:b w:val="0"/>
                <w:color w:val="0F172A"/>
                <w:sz w:val="18"/>
              </w:rPr>
              <w:t>Change-linked test obligations and measured selection recall</w:t>
            </w:r>
          </w:p>
        </w:tc>
      </w:tr>
      <w:tr>
        <w:tc>
          <w:tcPr>
            <w:tcW w:type="dxa" w:w="1700"/>
            <w:shd w:fill="F8FAFC"/>
          </w:tcPr>
          <w:p>
            <w:pPr>
              <w:spacing w:after="0" w:line="252" w:lineRule="auto"/>
            </w:pPr>
            <w:r>
              <w:rPr>
                <w:rFonts w:ascii="Calibri" w:hAnsi="Calibri" w:eastAsia="Calibri"/>
                <w:b/>
                <w:color w:val="0F172A"/>
                <w:sz w:val="18"/>
              </w:rPr>
              <w:t>Auditability</w:t>
            </w:r>
          </w:p>
        </w:tc>
        <w:tc>
          <w:tcPr>
            <w:tcW w:type="dxa" w:w="3000"/>
            <w:shd w:fill="F8FAFC"/>
          </w:tcPr>
          <w:p>
            <w:pPr>
              <w:spacing w:after="0" w:line="252" w:lineRule="auto"/>
            </w:pPr>
            <w:r>
              <w:rPr>
                <w:rFonts w:ascii="Calibri" w:hAnsi="Calibri" w:eastAsia="Calibri"/>
                <w:b w:val="0"/>
                <w:color w:val="0F172A"/>
                <w:sz w:val="18"/>
              </w:rPr>
              <w:t>Explain why every material decision was made</w:t>
            </w:r>
          </w:p>
        </w:tc>
        <w:tc>
          <w:tcPr>
            <w:tcW w:type="dxa" w:w="4660"/>
            <w:shd w:fill="F8FAFC"/>
          </w:tcPr>
          <w:p>
            <w:pPr>
              <w:spacing w:after="0" w:line="252" w:lineRule="auto"/>
            </w:pPr>
            <w:r>
              <w:rPr>
                <w:rFonts w:ascii="Calibri" w:hAnsi="Calibri" w:eastAsia="Calibri"/>
                <w:b w:val="0"/>
                <w:color w:val="0F172A"/>
                <w:sz w:val="18"/>
              </w:rPr>
              <w:t>Immutable snapshots, evidence and policy decisions</w:t>
            </w:r>
          </w:p>
        </w:tc>
      </w:tr>
      <w:tr>
        <w:tc>
          <w:tcPr>
            <w:tcW w:type="dxa" w:w="1700"/>
          </w:tcPr>
          <w:p>
            <w:pPr>
              <w:spacing w:after="0" w:line="252" w:lineRule="auto"/>
            </w:pPr>
            <w:r>
              <w:rPr>
                <w:rFonts w:ascii="Calibri" w:hAnsi="Calibri" w:eastAsia="Calibri"/>
                <w:b/>
                <w:color w:val="0F172A"/>
                <w:sz w:val="18"/>
              </w:rPr>
              <w:t>Client adaptability</w:t>
            </w:r>
          </w:p>
        </w:tc>
        <w:tc>
          <w:tcPr>
            <w:tcW w:type="dxa" w:w="3000"/>
          </w:tcPr>
          <w:p>
            <w:pPr>
              <w:spacing w:after="0" w:line="252" w:lineRule="auto"/>
            </w:pPr>
            <w:r>
              <w:rPr>
                <w:rFonts w:ascii="Calibri" w:hAnsi="Calibri" w:eastAsia="Calibri"/>
                <w:b w:val="0"/>
                <w:color w:val="0F172A"/>
                <w:sz w:val="18"/>
              </w:rPr>
              <w:t>Integrate heterogeneous enterprise estates</w:t>
            </w:r>
          </w:p>
        </w:tc>
        <w:tc>
          <w:tcPr>
            <w:tcW w:type="dxa" w:w="4660"/>
          </w:tcPr>
          <w:p>
            <w:pPr>
              <w:spacing w:after="0" w:line="252" w:lineRule="auto"/>
            </w:pPr>
            <w:r>
              <w:rPr>
                <w:rFonts w:ascii="Calibri" w:hAnsi="Calibri" w:eastAsia="Calibri"/>
                <w:b w:val="0"/>
                <w:color w:val="0F172A"/>
                <w:sz w:val="18"/>
              </w:rPr>
              <w:t>Capability-based plugins and policy packs</w:t>
            </w:r>
          </w:p>
        </w:tc>
      </w:tr>
      <w:tr>
        <w:tc>
          <w:tcPr>
            <w:tcW w:type="dxa" w:w="1700"/>
            <w:shd w:fill="F8FAFC"/>
          </w:tcPr>
          <w:p>
            <w:pPr>
              <w:spacing w:after="0" w:line="252" w:lineRule="auto"/>
            </w:pPr>
            <w:r>
              <w:rPr>
                <w:rFonts w:ascii="Calibri" w:hAnsi="Calibri" w:eastAsia="Calibri"/>
                <w:b/>
                <w:color w:val="0F172A"/>
                <w:sz w:val="18"/>
              </w:rPr>
              <w:t>Continuous learning</w:t>
            </w:r>
          </w:p>
        </w:tc>
        <w:tc>
          <w:tcPr>
            <w:tcW w:type="dxa" w:w="3000"/>
            <w:shd w:fill="F8FAFC"/>
          </w:tcPr>
          <w:p>
            <w:pPr>
              <w:spacing w:after="0" w:line="252" w:lineRule="auto"/>
            </w:pPr>
            <w:r>
              <w:rPr>
                <w:rFonts w:ascii="Calibri" w:hAnsi="Calibri" w:eastAsia="Calibri"/>
                <w:b w:val="0"/>
                <w:color w:val="0F172A"/>
                <w:sz w:val="18"/>
              </w:rPr>
              <w:t>Improve with observed outcomes</w:t>
            </w:r>
          </w:p>
        </w:tc>
        <w:tc>
          <w:tcPr>
            <w:tcW w:type="dxa" w:w="4660"/>
            <w:shd w:fill="F8FAFC"/>
          </w:tcPr>
          <w:p>
            <w:pPr>
              <w:spacing w:after="0" w:line="252" w:lineRule="auto"/>
            </w:pPr>
            <w:r>
              <w:rPr>
                <w:rFonts w:ascii="Calibri" w:hAnsi="Calibri" w:eastAsia="Calibri"/>
                <w:b w:val="0"/>
                <w:color w:val="0F172A"/>
                <w:sz w:val="18"/>
              </w:rPr>
              <w:t>Versioned evaluation, controlled promotion and rollback</w:t>
            </w:r>
          </w:p>
        </w:tc>
      </w:tr>
    </w:tbl>
    <w:p>
      <w:pPr>
        <w:spacing w:before="0" w:after="40"/>
      </w:pPr>
    </w:p>
    <w:p>
      <w:pPr>
        <w:pStyle w:val="Heading2"/>
      </w:pPr>
      <w:r>
        <w:t>In scope</w:t>
      </w:r>
    </w:p>
    <w:p>
      <w:pPr>
        <w:pStyle w:val="ListBullet"/>
        <w:spacing w:after="100"/>
      </w:pPr>
      <w:r>
        <w:rPr>
          <w:rFonts w:ascii="Calibri" w:hAnsi="Calibri" w:eastAsia="Calibri"/>
          <w:color w:val="0F172A"/>
        </w:rPr>
        <w:t>Governed orchestration of requirement, design, implementation, QA, release and operational feedback.</w:t>
      </w:r>
    </w:p>
    <w:p>
      <w:pPr>
        <w:pStyle w:val="ListBullet"/>
        <w:spacing w:after="100"/>
      </w:pPr>
      <w:r>
        <w:rPr>
          <w:rFonts w:ascii="Calibri" w:hAnsi="Calibri" w:eastAsia="Calibri"/>
          <w:color w:val="0F172A"/>
        </w:rPr>
        <w:t>A shared semantic model spanning business intent, system topology, assurance assets and evidence.</w:t>
      </w:r>
    </w:p>
    <w:p>
      <w:pPr>
        <w:pStyle w:val="ListBullet"/>
        <w:spacing w:after="100"/>
      </w:pPr>
      <w:r>
        <w:rPr>
          <w:rFonts w:ascii="Calibri" w:hAnsi="Calibri" w:eastAsia="Calibri"/>
          <w:color w:val="0F172A"/>
        </w:rPr>
        <w:t>Explainable impact, test obligations, release readiness and agent grounding.</w:t>
      </w:r>
    </w:p>
    <w:p>
      <w:pPr>
        <w:pStyle w:val="ListBullet"/>
        <w:spacing w:after="100"/>
      </w:pPr>
      <w:r>
        <w:rPr>
          <w:rFonts w:ascii="Calibri" w:hAnsi="Calibri" w:eastAsia="Calibri"/>
          <w:color w:val="0F172A"/>
        </w:rPr>
        <w:t>A provider SDK for client-owned and third-party integrations, models, agents and execution services.</w:t>
      </w:r>
    </w:p>
    <w:p>
      <w:pPr>
        <w:pStyle w:val="ListBullet"/>
        <w:spacing w:after="100"/>
      </w:pPr>
      <w:r>
        <w:rPr>
          <w:rFonts w:ascii="Calibri" w:hAnsi="Calibri" w:eastAsia="Calibri"/>
          <w:color w:val="0F172A"/>
        </w:rPr>
        <w:t>Security, policy, tenancy, audit, evaluation and lifecycle governance as core platform capabilities.</w:t>
      </w:r>
    </w:p>
    <w:p>
      <w:r>
        <w:br w:type="page"/>
      </w:r>
    </w:p>
    <w:p>
      <w:pPr>
        <w:spacing w:after="80"/>
        <w:ind w:left="0" w:firstLine="0"/>
        <w:jc w:val="left"/>
      </w:pPr>
      <w:r>
        <w:rPr>
          <w:rFonts w:ascii="Calibri" w:hAnsi="Calibri" w:eastAsia="Calibri"/>
          <w:b/>
          <w:color w:val="0F766E"/>
          <w:sz w:val="19"/>
        </w:rPr>
        <w:t>SECTION 1 / VISION AND OUTCOMES - CONTINUED</w:t>
      </w:r>
    </w:p>
    <w:p>
      <w:pPr>
        <w:pStyle w:val="Heading2"/>
      </w:pPr>
      <w:r>
        <w:t>Explicit non-goals</w:t>
      </w:r>
    </w:p>
    <w:p>
      <w:pPr>
        <w:pStyle w:val="ListBullet"/>
        <w:spacing w:after="100"/>
      </w:pPr>
      <w:r>
        <w:rPr>
          <w:rFonts w:ascii="Calibri" w:hAnsi="Calibri" w:eastAsia="Calibri"/>
          <w:color w:val="0F172A"/>
        </w:rPr>
        <w:t>Becoming the authoritative system for requirements, source code, incidents or production configuration.</w:t>
      </w:r>
    </w:p>
    <w:p>
      <w:pPr>
        <w:pStyle w:val="ListBullet"/>
        <w:spacing w:after="100"/>
      </w:pPr>
      <w:r>
        <w:rPr>
          <w:rFonts w:ascii="Calibri" w:hAnsi="Calibri" w:eastAsia="Calibri"/>
          <w:color w:val="0F172A"/>
        </w:rPr>
        <w:t>Mandating a specific graph database, model provider, CI/CD platform or test framework.</w:t>
      </w:r>
    </w:p>
    <w:p>
      <w:pPr>
        <w:pStyle w:val="ListBullet"/>
        <w:spacing w:after="100"/>
      </w:pPr>
      <w:r>
        <w:rPr>
          <w:rFonts w:ascii="Calibri" w:hAnsi="Calibri" w:eastAsia="Calibri"/>
          <w:color w:val="0F172A"/>
        </w:rPr>
        <w:t>Allowing probabilistic agents to approve their own high-risk actions or mutate policy without governance.</w:t>
      </w:r>
    </w:p>
    <w:p>
      <w:pPr>
        <w:pStyle w:val="ListBullet"/>
        <w:spacing w:after="100"/>
      </w:pPr>
      <w:r>
        <w:rPr>
          <w:rFonts w:ascii="Calibri" w:hAnsi="Calibri" w:eastAsia="Calibri"/>
          <w:color w:val="0F172A"/>
        </w:rPr>
        <w:t>Claiming universal impact certainty; the platform exposes unsupported surfaces and residual risk.</w:t>
      </w:r>
    </w:p>
    <w:p>
      <w:pPr>
        <w:pStyle w:val="Heading2"/>
      </w:pPr>
      <w:r>
        <w:t>Durable kernel, replaceable edge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00"/>
        <w:gridCol w:w="7260"/>
      </w:tblGrid>
      <w:tr>
        <w:trPr>
          <w:tblHeader w:val="true"/>
        </w:trPr>
        <w:tc>
          <w:tcPr>
            <w:tcW w:type="dxa" w:w="21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Boundary</w:t>
            </w:r>
          </w:p>
        </w:tc>
        <w:tc>
          <w:tcPr>
            <w:tcW w:type="dxa" w:w="72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Responsibility</w:t>
            </w:r>
          </w:p>
        </w:tc>
      </w:tr>
      <w:tr>
        <w:tc>
          <w:tcPr>
            <w:tcW w:type="dxa" w:w="2100"/>
          </w:tcPr>
          <w:p>
            <w:pPr>
              <w:spacing w:after="0" w:line="252" w:lineRule="auto"/>
            </w:pPr>
            <w:r>
              <w:rPr>
                <w:rFonts w:ascii="Calibri" w:hAnsi="Calibri" w:eastAsia="Calibri"/>
                <w:b/>
                <w:color w:val="0F172A"/>
                <w:sz w:val="18"/>
              </w:rPr>
              <w:t>Framework kernel</w:t>
            </w:r>
          </w:p>
        </w:tc>
        <w:tc>
          <w:tcPr>
            <w:tcW w:type="dxa" w:w="7260"/>
          </w:tcPr>
          <w:p>
            <w:pPr>
              <w:spacing w:after="0" w:line="252" w:lineRule="auto"/>
            </w:pPr>
            <w:r>
              <w:rPr>
                <w:rFonts w:ascii="Calibri" w:hAnsi="Calibri" w:eastAsia="Calibri"/>
                <w:b w:val="0"/>
                <w:color w:val="0F172A"/>
                <w:sz w:val="18"/>
              </w:rPr>
              <w:t>Identity, temporal truth, workflow state, impact contracts, policy decisions, evidence and audit</w:t>
            </w:r>
          </w:p>
        </w:tc>
      </w:tr>
      <w:tr>
        <w:tc>
          <w:tcPr>
            <w:tcW w:type="dxa" w:w="2100"/>
            <w:shd w:fill="F8FAFC"/>
          </w:tcPr>
          <w:p>
            <w:pPr>
              <w:spacing w:after="0" w:line="252" w:lineRule="auto"/>
            </w:pPr>
            <w:r>
              <w:rPr>
                <w:rFonts w:ascii="Calibri" w:hAnsi="Calibri" w:eastAsia="Calibri"/>
                <w:b/>
                <w:color w:val="0F172A"/>
                <w:sz w:val="18"/>
              </w:rPr>
              <w:t>Replaceable providers</w:t>
            </w:r>
          </w:p>
        </w:tc>
        <w:tc>
          <w:tcPr>
            <w:tcW w:type="dxa" w:w="7260"/>
            <w:shd w:fill="F8FAFC"/>
          </w:tcPr>
          <w:p>
            <w:pPr>
              <w:spacing w:after="0" w:line="252" w:lineRule="auto"/>
            </w:pPr>
            <w:r>
              <w:rPr>
                <w:rFonts w:ascii="Calibri" w:hAnsi="Calibri" w:eastAsia="Calibri"/>
                <w:b w:val="0"/>
                <w:color w:val="0F172A"/>
                <w:sz w:val="18"/>
              </w:rPr>
              <w:t>Connectors, analyzers, retrieval engines, models, agents, test frameworks, runners and deployment tools</w:t>
            </w:r>
          </w:p>
        </w:tc>
      </w:tr>
      <w:tr>
        <w:tc>
          <w:tcPr>
            <w:tcW w:type="dxa" w:w="2100"/>
          </w:tcPr>
          <w:p>
            <w:pPr>
              <w:spacing w:after="0" w:line="252" w:lineRule="auto"/>
            </w:pPr>
            <w:r>
              <w:rPr>
                <w:rFonts w:ascii="Calibri" w:hAnsi="Calibri" w:eastAsia="Calibri"/>
                <w:b/>
                <w:color w:val="0F172A"/>
                <w:sz w:val="18"/>
              </w:rPr>
              <w:t>Enterprise authority</w:t>
            </w:r>
          </w:p>
        </w:tc>
        <w:tc>
          <w:tcPr>
            <w:tcW w:type="dxa" w:w="7260"/>
          </w:tcPr>
          <w:p>
            <w:pPr>
              <w:spacing w:after="0" w:line="252" w:lineRule="auto"/>
            </w:pPr>
            <w:r>
              <w:rPr>
                <w:rFonts w:ascii="Calibri" w:hAnsi="Calibri" w:eastAsia="Calibri"/>
                <w:b w:val="0"/>
                <w:color w:val="0F172A"/>
                <w:sz w:val="18"/>
              </w:rPr>
              <w:t>Requirements, source code, configurations, tests, releases, incidents and operational telemetry</w:t>
            </w:r>
          </w:p>
        </w:tc>
      </w:tr>
    </w:tbl>
    <w:p>
      <w:pPr>
        <w:spacing w:before="0" w:after="40"/>
      </w:pPr>
    </w:p>
    <w:p>
      <w:pPr>
        <w:keepLines/>
        <w:spacing w:before="100" w:after="200"/>
        <w:ind w:left="202" w:right="144"/>
        <w:shd w:fill="EFF6FF"/>
        <w:pBdr>
          <w:left w:val="single" w:sz="22" w:space="8" w:color="2563EB"/>
        </w:pBdr>
      </w:pPr>
      <w:r>
        <w:rPr>
          <w:rFonts w:ascii="Calibri" w:hAnsi="Calibri" w:eastAsia="Calibri"/>
          <w:b/>
          <w:color w:val="2563EB"/>
          <w:sz w:val="18"/>
        </w:rPr>
        <w:t xml:space="preserve">DESIGN BOUNDARY  </w:t>
      </w:r>
      <w:r>
        <w:rPr>
          <w:rFonts w:ascii="Calibri" w:hAnsi="Calibri" w:eastAsia="Calibri"/>
          <w:b w:val="0"/>
          <w:color w:val="0F172A"/>
          <w:sz w:val="20"/>
        </w:rPr>
        <w:t>A client can replace any provider without changing the meaning of an entity, snapshot, assessment, evidence item or decision.</w:t>
      </w:r>
    </w:p>
    <w:p>
      <w:r>
        <w:br w:type="page"/>
      </w:r>
    </w:p>
    <w:p>
      <w:pPr>
        <w:spacing w:after="80"/>
        <w:ind w:left="0" w:firstLine="0"/>
        <w:jc w:val="left"/>
      </w:pPr>
      <w:r>
        <w:rPr>
          <w:rFonts w:ascii="Calibri" w:hAnsi="Calibri" w:eastAsia="Calibri"/>
          <w:b/>
          <w:color w:val="0F766E"/>
          <w:sz w:val="19"/>
        </w:rPr>
        <w:t>2 | ARCHITECTURAL TENETS</w:t>
      </w:r>
    </w:p>
    <w:p>
      <w:pPr>
        <w:pStyle w:val="Heading1"/>
      </w:pPr>
      <w:r>
        <w:t>The platform constitution</w:t>
      </w:r>
    </w:p>
    <w:p>
      <w:pPr>
        <w:keepLines w:val="0"/>
        <w:spacing w:after="120"/>
        <w:ind w:left="0" w:right="0" w:firstLine="0"/>
        <w:jc w:val="left"/>
      </w:pPr>
      <w:r>
        <w:rPr>
          <w:rFonts w:ascii="Calibri" w:hAnsi="Calibri" w:eastAsia="Calibri"/>
          <w:i w:val="0"/>
          <w:color w:val="0F172A"/>
        </w:rPr>
        <w:t>These tenets are technology-independent. They should be enforced through domain contracts, conformance tests and architecture decision records.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tblHeader w:val="true"/>
        </w:trPr>
        <w:tc>
          <w:tcPr>
            <w:tcW w:type="dxa" w:w="25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Tenet</w:t>
            </w:r>
          </w:p>
        </w:tc>
        <w:tc>
          <w:tcPr>
            <w:tcW w:type="dxa" w:w="68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Architectural implication</w:t>
            </w:r>
          </w:p>
        </w:tc>
      </w:tr>
      <w:tr>
        <w:tc>
          <w:tcPr>
            <w:tcW w:type="dxa" w:w="2500"/>
          </w:tcPr>
          <w:p>
            <w:pPr>
              <w:spacing w:after="0" w:line="252" w:lineRule="auto"/>
            </w:pPr>
            <w:r>
              <w:rPr>
                <w:rFonts w:ascii="Calibri" w:hAnsi="Calibri" w:eastAsia="Calibri"/>
                <w:b/>
                <w:color w:val="0F172A"/>
                <w:sz w:val="17"/>
              </w:rPr>
              <w:t>Context before autonomy</w:t>
            </w:r>
          </w:p>
        </w:tc>
        <w:tc>
          <w:tcPr>
            <w:tcW w:type="dxa" w:w="6860"/>
          </w:tcPr>
          <w:p>
            <w:pPr>
              <w:spacing w:after="0" w:line="252" w:lineRule="auto"/>
            </w:pPr>
            <w:r>
              <w:rPr>
                <w:rFonts w:ascii="Calibri" w:hAnsi="Calibri" w:eastAsia="Calibri"/>
                <w:b w:val="0"/>
                <w:color w:val="0F172A"/>
                <w:sz w:val="17"/>
              </w:rPr>
              <w:t>An agent may act only within an explicit project, revision, policy and tool context.</w:t>
            </w:r>
          </w:p>
        </w:tc>
      </w:tr>
      <w:tr>
        <w:tc>
          <w:tcPr>
            <w:tcW w:type="dxa" w:w="2500"/>
            <w:shd w:fill="F8FAFC"/>
          </w:tcPr>
          <w:p>
            <w:pPr>
              <w:spacing w:after="0" w:line="252" w:lineRule="auto"/>
            </w:pPr>
            <w:r>
              <w:rPr>
                <w:rFonts w:ascii="Calibri" w:hAnsi="Calibri" w:eastAsia="Calibri"/>
                <w:b/>
                <w:color w:val="0F172A"/>
                <w:sz w:val="17"/>
              </w:rPr>
              <w:t>Deterministic authority</w:t>
            </w:r>
          </w:p>
        </w:tc>
        <w:tc>
          <w:tcPr>
            <w:tcW w:type="dxa" w:w="6860"/>
            <w:shd w:fill="F8FAFC"/>
          </w:tcPr>
          <w:p>
            <w:pPr>
              <w:spacing w:after="0" w:line="252" w:lineRule="auto"/>
            </w:pPr>
            <w:r>
              <w:rPr>
                <w:rFonts w:ascii="Calibri" w:hAnsi="Calibri" w:eastAsia="Calibri"/>
                <w:b w:val="0"/>
                <w:color w:val="0F172A"/>
                <w:sz w:val="17"/>
              </w:rPr>
              <w:t>Agents propose or execute; policy and human authority decide consequential state transitions.</w:t>
            </w:r>
          </w:p>
        </w:tc>
      </w:tr>
      <w:tr>
        <w:tc>
          <w:tcPr>
            <w:tcW w:type="dxa" w:w="2500"/>
          </w:tcPr>
          <w:p>
            <w:pPr>
              <w:spacing w:after="0" w:line="252" w:lineRule="auto"/>
            </w:pPr>
            <w:r>
              <w:rPr>
                <w:rFonts w:ascii="Calibri" w:hAnsi="Calibri" w:eastAsia="Calibri"/>
                <w:b/>
                <w:color w:val="0F172A"/>
                <w:sz w:val="17"/>
              </w:rPr>
              <w:t>Immutable historical truth</w:t>
            </w:r>
          </w:p>
        </w:tc>
        <w:tc>
          <w:tcPr>
            <w:tcW w:type="dxa" w:w="6860"/>
          </w:tcPr>
          <w:p>
            <w:pPr>
              <w:spacing w:after="0" w:line="252" w:lineRule="auto"/>
            </w:pPr>
            <w:r>
              <w:rPr>
                <w:rFonts w:ascii="Calibri" w:hAnsi="Calibri" w:eastAsia="Calibri"/>
                <w:b w:val="0"/>
                <w:color w:val="0F172A"/>
                <w:sz w:val="17"/>
              </w:rPr>
              <w:t>Entity revisions, execution attempts, assertions, evidence and decisions are append-only and addressable.</w:t>
            </w:r>
          </w:p>
        </w:tc>
      </w:tr>
      <w:tr>
        <w:tc>
          <w:tcPr>
            <w:tcW w:type="dxa" w:w="2500"/>
            <w:shd w:fill="F8FAFC"/>
          </w:tcPr>
          <w:p>
            <w:pPr>
              <w:spacing w:after="0" w:line="252" w:lineRule="auto"/>
            </w:pPr>
            <w:r>
              <w:rPr>
                <w:rFonts w:ascii="Calibri" w:hAnsi="Calibri" w:eastAsia="Calibri"/>
                <w:b/>
                <w:color w:val="0F172A"/>
                <w:sz w:val="17"/>
              </w:rPr>
              <w:t>One impact truth</w:t>
            </w:r>
          </w:p>
        </w:tc>
        <w:tc>
          <w:tcPr>
            <w:tcW w:type="dxa" w:w="6860"/>
            <w:shd w:fill="F8FAFC"/>
          </w:tcPr>
          <w:p>
            <w:pPr>
              <w:spacing w:after="0" w:line="252" w:lineRule="auto"/>
            </w:pPr>
            <w:r>
              <w:rPr>
                <w:rFonts w:ascii="Calibri" w:hAnsi="Calibri" w:eastAsia="Calibri"/>
                <w:b w:val="0"/>
                <w:color w:val="0F172A"/>
                <w:sz w:val="17"/>
              </w:rPr>
              <w:t>Design, implementation, QA and release consume one canonical Impact Assessment.</w:t>
            </w:r>
          </w:p>
        </w:tc>
      </w:tr>
      <w:tr>
        <w:tc>
          <w:tcPr>
            <w:tcW w:type="dxa" w:w="2500"/>
          </w:tcPr>
          <w:p>
            <w:pPr>
              <w:spacing w:after="0" w:line="252" w:lineRule="auto"/>
            </w:pPr>
            <w:r>
              <w:rPr>
                <w:rFonts w:ascii="Calibri" w:hAnsi="Calibri" w:eastAsia="Calibri"/>
                <w:b/>
                <w:color w:val="0F172A"/>
                <w:sz w:val="17"/>
              </w:rPr>
              <w:t>Explainability by construction</w:t>
            </w:r>
          </w:p>
        </w:tc>
        <w:tc>
          <w:tcPr>
            <w:tcW w:type="dxa" w:w="6860"/>
          </w:tcPr>
          <w:p>
            <w:pPr>
              <w:spacing w:after="0" w:line="252" w:lineRule="auto"/>
            </w:pPr>
            <w:r>
              <w:rPr>
                <w:rFonts w:ascii="Calibri" w:hAnsi="Calibri" w:eastAsia="Calibri"/>
                <w:b w:val="0"/>
                <w:color w:val="0F172A"/>
                <w:sz w:val="17"/>
              </w:rPr>
              <w:t>Every impact, test obligation and gate outcome carries paths, provenance, policy and known gaps.</w:t>
            </w:r>
          </w:p>
        </w:tc>
      </w:tr>
      <w:tr>
        <w:tc>
          <w:tcPr>
            <w:tcW w:type="dxa" w:w="2500"/>
            <w:shd w:fill="F8FAFC"/>
          </w:tcPr>
          <w:p>
            <w:pPr>
              <w:spacing w:after="0" w:line="252" w:lineRule="auto"/>
            </w:pPr>
            <w:r>
              <w:rPr>
                <w:rFonts w:ascii="Calibri" w:hAnsi="Calibri" w:eastAsia="Calibri"/>
                <w:b/>
                <w:color w:val="0F172A"/>
                <w:sz w:val="17"/>
              </w:rPr>
              <w:t>Uncertainty is data</w:t>
            </w:r>
          </w:p>
        </w:tc>
        <w:tc>
          <w:tcPr>
            <w:tcW w:type="dxa" w:w="6860"/>
            <w:shd w:fill="F8FAFC"/>
          </w:tcPr>
          <w:p>
            <w:pPr>
              <w:spacing w:after="0" w:line="252" w:lineRule="auto"/>
            </w:pPr>
            <w:r>
              <w:rPr>
                <w:rFonts w:ascii="Calibri" w:hAnsi="Calibri" w:eastAsia="Calibri"/>
                <w:b w:val="0"/>
                <w:color w:val="0F172A"/>
                <w:sz w:val="17"/>
              </w:rPr>
              <w:t>Unknown, unmapped, stale and low-confidence context remains visible and policy-addressable.</w:t>
            </w:r>
          </w:p>
        </w:tc>
      </w:tr>
      <w:tr>
        <w:tc>
          <w:tcPr>
            <w:tcW w:type="dxa" w:w="2500"/>
          </w:tcPr>
          <w:p>
            <w:pPr>
              <w:spacing w:after="0" w:line="252" w:lineRule="auto"/>
            </w:pPr>
            <w:r>
              <w:rPr>
                <w:rFonts w:ascii="Calibri" w:hAnsi="Calibri" w:eastAsia="Calibri"/>
                <w:b/>
                <w:color w:val="0F172A"/>
                <w:sz w:val="17"/>
              </w:rPr>
              <w:t>Behavioral pluggability</w:t>
            </w:r>
          </w:p>
        </w:tc>
        <w:tc>
          <w:tcPr>
            <w:tcW w:type="dxa" w:w="6860"/>
          </w:tcPr>
          <w:p>
            <w:pPr>
              <w:spacing w:after="0" w:line="252" w:lineRule="auto"/>
            </w:pPr>
            <w:r>
              <w:rPr>
                <w:rFonts w:ascii="Calibri" w:hAnsi="Calibri" w:eastAsia="Calibri"/>
                <w:b w:val="0"/>
                <w:color w:val="0F172A"/>
                <w:sz w:val="17"/>
              </w:rPr>
              <w:t>Providers contribute capabilities and semantics, not merely records or labels.</w:t>
            </w:r>
          </w:p>
        </w:tc>
      </w:tr>
      <w:tr>
        <w:tc>
          <w:tcPr>
            <w:tcW w:type="dxa" w:w="2500"/>
            <w:shd w:fill="F8FAFC"/>
          </w:tcPr>
          <w:p>
            <w:pPr>
              <w:spacing w:after="0" w:line="252" w:lineRule="auto"/>
            </w:pPr>
            <w:r>
              <w:rPr>
                <w:rFonts w:ascii="Calibri" w:hAnsi="Calibri" w:eastAsia="Calibri"/>
                <w:b/>
                <w:color w:val="0F172A"/>
                <w:sz w:val="17"/>
              </w:rPr>
              <w:t>No client forks</w:t>
            </w:r>
          </w:p>
        </w:tc>
        <w:tc>
          <w:tcPr>
            <w:tcW w:type="dxa" w:w="6860"/>
            <w:shd w:fill="F8FAFC"/>
          </w:tcPr>
          <w:p>
            <w:pPr>
              <w:spacing w:after="0" w:line="252" w:lineRule="auto"/>
            </w:pPr>
            <w:r>
              <w:rPr>
                <w:rFonts w:ascii="Calibri" w:hAnsi="Calibri" w:eastAsia="Calibri"/>
                <w:b w:val="0"/>
                <w:color w:val="0F172A"/>
                <w:sz w:val="17"/>
              </w:rPr>
              <w:t>Client variation is expressed through plugins, policy packs, ontology packages and deployment configuration.</w:t>
            </w:r>
          </w:p>
        </w:tc>
      </w:tr>
      <w:tr>
        <w:tc>
          <w:tcPr>
            <w:tcW w:type="dxa" w:w="2500"/>
          </w:tcPr>
          <w:p>
            <w:pPr>
              <w:spacing w:after="0" w:line="252" w:lineRule="auto"/>
            </w:pPr>
            <w:r>
              <w:rPr>
                <w:rFonts w:ascii="Calibri" w:hAnsi="Calibri" w:eastAsia="Calibri"/>
                <w:b/>
                <w:color w:val="0F172A"/>
                <w:sz w:val="17"/>
              </w:rPr>
              <w:t>Source systems remain authoritative</w:t>
            </w:r>
          </w:p>
        </w:tc>
        <w:tc>
          <w:tcPr>
            <w:tcW w:type="dxa" w:w="6860"/>
          </w:tcPr>
          <w:p>
            <w:pPr>
              <w:spacing w:after="0" w:line="252" w:lineRule="auto"/>
            </w:pPr>
            <w:r>
              <w:rPr>
                <w:rFonts w:ascii="Calibri" w:hAnsi="Calibri" w:eastAsia="Calibri"/>
                <w:b w:val="0"/>
                <w:color w:val="0F172A"/>
                <w:sz w:val="17"/>
              </w:rPr>
              <w:t>The platform references and reconciles enterprise truth rather than silently replacing it.</w:t>
            </w:r>
          </w:p>
        </w:tc>
      </w:tr>
      <w:tr>
        <w:tc>
          <w:tcPr>
            <w:tcW w:type="dxa" w:w="2500"/>
            <w:shd w:fill="F8FAFC"/>
          </w:tcPr>
          <w:p>
            <w:pPr>
              <w:spacing w:after="0" w:line="252" w:lineRule="auto"/>
            </w:pPr>
            <w:r>
              <w:rPr>
                <w:rFonts w:ascii="Calibri" w:hAnsi="Calibri" w:eastAsia="Calibri"/>
                <w:b/>
                <w:color w:val="0F172A"/>
                <w:sz w:val="17"/>
              </w:rPr>
              <w:t>Execution follows the data</w:t>
            </w:r>
          </w:p>
        </w:tc>
        <w:tc>
          <w:tcPr>
            <w:tcW w:type="dxa" w:w="6860"/>
            <w:shd w:fill="F8FAFC"/>
          </w:tcPr>
          <w:p>
            <w:pPr>
              <w:spacing w:after="0" w:line="252" w:lineRule="auto"/>
            </w:pPr>
            <w:r>
              <w:rPr>
                <w:rFonts w:ascii="Calibri" w:hAnsi="Calibri" w:eastAsia="Calibri"/>
                <w:b w:val="0"/>
                <w:color w:val="0F172A"/>
                <w:sz w:val="17"/>
              </w:rPr>
              <w:t>Sensitive code, credentials and test data can remain within a client-controlled execution boundary.</w:t>
            </w:r>
          </w:p>
        </w:tc>
      </w:tr>
      <w:tr>
        <w:tc>
          <w:tcPr>
            <w:tcW w:type="dxa" w:w="2500"/>
          </w:tcPr>
          <w:p>
            <w:pPr>
              <w:spacing w:after="0" w:line="252" w:lineRule="auto"/>
            </w:pPr>
            <w:r>
              <w:rPr>
                <w:rFonts w:ascii="Calibri" w:hAnsi="Calibri" w:eastAsia="Calibri"/>
                <w:b/>
                <w:color w:val="0F172A"/>
                <w:sz w:val="17"/>
              </w:rPr>
              <w:t>Evidence over assertion</w:t>
            </w:r>
          </w:p>
        </w:tc>
        <w:tc>
          <w:tcPr>
            <w:tcW w:type="dxa" w:w="6860"/>
          </w:tcPr>
          <w:p>
            <w:pPr>
              <w:spacing w:after="0" w:line="252" w:lineRule="auto"/>
            </w:pPr>
            <w:r>
              <w:rPr>
                <w:rFonts w:ascii="Calibri" w:hAnsi="Calibri" w:eastAsia="Calibri"/>
                <w:b w:val="0"/>
                <w:color w:val="0F172A"/>
                <w:sz w:val="17"/>
              </w:rPr>
              <w:t>Release confidence is based on observed, revision-bound evidence rather than generated narrative.</w:t>
            </w:r>
          </w:p>
        </w:tc>
      </w:tr>
      <w:tr>
        <w:tc>
          <w:tcPr>
            <w:tcW w:type="dxa" w:w="2500"/>
            <w:shd w:fill="F8FAFC"/>
          </w:tcPr>
          <w:p>
            <w:pPr>
              <w:spacing w:after="0" w:line="252" w:lineRule="auto"/>
            </w:pPr>
            <w:r>
              <w:rPr>
                <w:rFonts w:ascii="Calibri" w:hAnsi="Calibri" w:eastAsia="Calibri"/>
                <w:b/>
                <w:color w:val="0F172A"/>
                <w:sz w:val="17"/>
              </w:rPr>
              <w:t>Learning is governed</w:t>
            </w:r>
          </w:p>
        </w:tc>
        <w:tc>
          <w:tcPr>
            <w:tcW w:type="dxa" w:w="6860"/>
            <w:shd w:fill="F8FAFC"/>
          </w:tcPr>
          <w:p>
            <w:pPr>
              <w:spacing w:after="0" w:line="252" w:lineRule="auto"/>
            </w:pPr>
            <w:r>
              <w:rPr>
                <w:rFonts w:ascii="Calibri" w:hAnsi="Calibri" w:eastAsia="Calibri"/>
                <w:b w:val="0"/>
                <w:color w:val="0F172A"/>
                <w:sz w:val="17"/>
              </w:rPr>
              <w:t>Improvements pass evaluation, approval, versioning, canary and rollback controls.</w:t>
            </w:r>
          </w:p>
        </w:tc>
      </w:tr>
    </w:tbl>
    <w:p>
      <w:pPr>
        <w:spacing w:before="0" w:after="40"/>
      </w:pPr>
    </w:p>
    <w:p>
      <w:pPr>
        <w:sectPr>
          <w:headerReference w:type="default" r:id="rId9"/>
          <w:footerReference w:type="default" r:id="rId10"/>
          <w:pgSz w:w="12240" w:h="15840"/>
          <w:pgMar w:top="1440" w:right="1440" w:bottom="1440" w:left="1440" w:header="708" w:footer="708" w:gutter="0"/>
          <w:cols w:space="720"/>
          <w:titlePg/>
          <w:docGrid w:linePitch="360"/>
        </w:sectPr>
      </w:pPr>
    </w:p>
    <w:p>
      <w:pPr>
        <w:spacing w:after="80"/>
        <w:ind w:left="0" w:firstLine="0"/>
        <w:jc w:val="left"/>
      </w:pPr>
      <w:r>
        <w:rPr>
          <w:rFonts w:ascii="Calibri" w:hAnsi="Calibri" w:eastAsia="Calibri"/>
          <w:b/>
          <w:color w:val="0F766E"/>
          <w:sz w:val="19"/>
        </w:rPr>
        <w:t>ARCHITECTURE VIEW 1</w:t>
      </w:r>
    </w:p>
    <w:p>
      <w:pPr>
        <w:pStyle w:val="Heading1"/>
      </w:pPr>
      <w:r>
        <w:t>Governed end-to-end delivery value stream</w:t>
      </w:r>
    </w:p>
    <w:p>
      <w:pPr>
        <w:keepLines w:val="0"/>
        <w:spacing w:after="140"/>
        <w:ind w:left="0" w:right="0" w:firstLine="0"/>
        <w:jc w:val="left"/>
      </w:pPr>
      <w:r>
        <w:rPr>
          <w:rFonts w:ascii="Calibri" w:hAnsi="Calibri" w:eastAsia="Calibri"/>
          <w:i w:val="0"/>
          <w:color w:val="0F172A"/>
          <w:sz w:val="19"/>
        </w:rPr>
        <w:t>The reference flow preserves familiar lifecycle stages but places a common control plane above them and a temporal context fabric beneath them.</w:t>
      </w:r>
    </w:p>
    <w:p>
      <w:pPr>
        <w:keepLines/>
        <w:spacing w:before="40" w:after="40"/>
        <w:jc w:val="center"/>
      </w:pPr>
      <w:r>
        <w:drawing>
          <wp:inline xmlns:a="http://schemas.openxmlformats.org/drawingml/2006/main" xmlns:pic="http://schemas.openxmlformats.org/drawingml/2006/picture">
            <wp:extent cx="8796528" cy="1949689"/>
            <wp:docPr id="1" name="Picture 1" descr="Architecture diagram: Governed end-to-end delivery value stream. Agents perform lifecycle work while deterministic gates, shared context and evidence govern transitions."/>
            <wp:cNvGraphicFramePr>
              <a:graphicFrameLocks noChangeAspect="1"/>
            </wp:cNvGraphicFramePr>
            <a:graphic>
              <a:graphicData uri="http://schemas.openxmlformats.org/drawingml/2006/picture">
                <pic:pic>
                  <pic:nvPicPr>
                    <pic:cNvPr id="0" name="01_value_stream.png"/>
                    <pic:cNvPicPr/>
                  </pic:nvPicPr>
                  <pic:blipFill>
                    <a:blip r:embed="rId13"/>
                    <a:stretch>
                      <a:fillRect/>
                    </a:stretch>
                  </pic:blipFill>
                  <pic:spPr>
                    <a:xfrm>
                      <a:off x="0" y="0"/>
                      <a:ext cx="8796528" cy="1949689"/>
                    </a:xfrm>
                    <a:prstGeom prst="rect"/>
                  </pic:spPr>
                </pic:pic>
              </a:graphicData>
            </a:graphic>
          </wp:inline>
        </w:drawing>
      </w:r>
    </w:p>
    <w:p>
      <w:pPr>
        <w:pStyle w:val="Caption"/>
        <w:jc w:val="center"/>
      </w:pPr>
      <w:r>
        <w:t>Figure 1. Agents perform lifecycle work while deterministic gates, shared context and evidence govern transitions.</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The platform is a governed delivery operating system. Every transition is tied to a project, revision, policy decision and evidence set.</w:t>
      </w:r>
    </w:p>
    <w:p>
      <w:pPr>
        <w:sectPr>
          <w:headerReference w:type="default" r:id="rId11"/>
          <w:footerReference w:type="default" r:id="rId12"/>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3 | END-TO-END REFERENCE ARCHITECTURE</w:t>
      </w:r>
    </w:p>
    <w:p>
      <w:pPr>
        <w:pStyle w:val="Heading1"/>
      </w:pPr>
      <w:r>
        <w:t>Logical capability model</w:t>
      </w:r>
    </w:p>
    <w:p>
      <w:pPr>
        <w:keepLines w:val="0"/>
        <w:spacing w:after="120"/>
        <w:ind w:left="0" w:right="0" w:firstLine="0"/>
        <w:jc w:val="left"/>
      </w:pPr>
      <w:r>
        <w:rPr>
          <w:rFonts w:ascii="Calibri" w:hAnsi="Calibri" w:eastAsia="Calibri"/>
          <w:i w:val="0"/>
          <w:color w:val="0F172A"/>
        </w:rPr>
        <w:t>The framework is organized into stable platform layers. Client tools and providers integrate through explicit boundaries; the kernel retains identity, policy, evidence and decision semantics.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5200"/>
        <w:gridCol w:w="2260"/>
      </w:tblGrid>
      <w:tr>
        <w:trPr>
          <w:tblHeader w:val="true"/>
        </w:trPr>
        <w:tc>
          <w:tcPr>
            <w:tcW w:type="dxa" w:w="1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Layer</w:t>
            </w:r>
          </w:p>
        </w:tc>
        <w:tc>
          <w:tcPr>
            <w:tcW w:type="dxa" w:w="5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Primary responsibilities</w:t>
            </w:r>
          </w:p>
        </w:tc>
        <w:tc>
          <w:tcPr>
            <w:tcW w:type="dxa" w:w="22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Ownership model</w:t>
            </w:r>
          </w:p>
        </w:tc>
      </w:tr>
      <w:tr>
        <w:tc>
          <w:tcPr>
            <w:tcW w:type="dxa" w:w="1900"/>
          </w:tcPr>
          <w:p>
            <w:pPr>
              <w:spacing w:after="0" w:line="252" w:lineRule="auto"/>
            </w:pPr>
            <w:r>
              <w:rPr>
                <w:rFonts w:ascii="Calibri" w:hAnsi="Calibri" w:eastAsia="Calibri"/>
                <w:b/>
                <w:color w:val="0F172A"/>
                <w:sz w:val="17"/>
              </w:rPr>
              <w:t>Experience and actors</w:t>
            </w:r>
          </w:p>
        </w:tc>
        <w:tc>
          <w:tcPr>
            <w:tcW w:type="dxa" w:w="5200"/>
          </w:tcPr>
          <w:p>
            <w:pPr>
              <w:spacing w:after="0" w:line="252" w:lineRule="auto"/>
            </w:pPr>
            <w:r>
              <w:rPr>
                <w:rFonts w:ascii="Calibri" w:hAnsi="Calibri" w:eastAsia="Calibri"/>
                <w:b w:val="0"/>
                <w:color w:val="0F172A"/>
                <w:sz w:val="17"/>
              </w:rPr>
              <w:t>Administrator, developer, approver, auditor and product-owner journeys; APIs and event interfaces</w:t>
            </w:r>
          </w:p>
        </w:tc>
        <w:tc>
          <w:tcPr>
            <w:tcW w:type="dxa" w:w="2260"/>
          </w:tcPr>
          <w:p>
            <w:pPr>
              <w:spacing w:after="0" w:line="252" w:lineRule="auto"/>
            </w:pPr>
            <w:r>
              <w:rPr>
                <w:rFonts w:ascii="Calibri" w:hAnsi="Calibri" w:eastAsia="Calibri"/>
                <w:b w:val="0"/>
                <w:color w:val="0F172A"/>
                <w:sz w:val="17"/>
              </w:rPr>
              <w:t>Core experience + client extensions</w:t>
            </w:r>
          </w:p>
        </w:tc>
      </w:tr>
      <w:tr>
        <w:tc>
          <w:tcPr>
            <w:tcW w:type="dxa" w:w="1900"/>
            <w:shd w:fill="F8FAFC"/>
          </w:tcPr>
          <w:p>
            <w:pPr>
              <w:spacing w:after="0" w:line="252" w:lineRule="auto"/>
            </w:pPr>
            <w:r>
              <w:rPr>
                <w:rFonts w:ascii="Calibri" w:hAnsi="Calibri" w:eastAsia="Calibri"/>
                <w:b/>
                <w:color w:val="0F172A"/>
                <w:sz w:val="17"/>
              </w:rPr>
              <w:t>Workflow and governance</w:t>
            </w:r>
          </w:p>
        </w:tc>
        <w:tc>
          <w:tcPr>
            <w:tcW w:type="dxa" w:w="5200"/>
            <w:shd w:fill="F8FAFC"/>
          </w:tcPr>
          <w:p>
            <w:pPr>
              <w:spacing w:after="0" w:line="252" w:lineRule="auto"/>
            </w:pPr>
            <w:r>
              <w:rPr>
                <w:rFonts w:ascii="Calibri" w:hAnsi="Calibri" w:eastAsia="Calibri"/>
                <w:b w:val="0"/>
                <w:color w:val="0F172A"/>
                <w:sz w:val="17"/>
              </w:rPr>
              <w:t>Orchestration, checkpoints, budgets, human authority, policy evaluation and resumability</w:t>
            </w:r>
          </w:p>
        </w:tc>
        <w:tc>
          <w:tcPr>
            <w:tcW w:type="dxa" w:w="2260"/>
            <w:shd w:fill="F8FAFC"/>
          </w:tcPr>
          <w:p>
            <w:pPr>
              <w:spacing w:after="0" w:line="252" w:lineRule="auto"/>
            </w:pPr>
            <w:r>
              <w:rPr>
                <w:rFonts w:ascii="Calibri" w:hAnsi="Calibri" w:eastAsia="Calibri"/>
                <w:b w:val="0"/>
                <w:color w:val="0F172A"/>
                <w:sz w:val="17"/>
              </w:rPr>
              <w:t>Framework core</w:t>
            </w:r>
          </w:p>
        </w:tc>
      </w:tr>
      <w:tr>
        <w:tc>
          <w:tcPr>
            <w:tcW w:type="dxa" w:w="1900"/>
          </w:tcPr>
          <w:p>
            <w:pPr>
              <w:spacing w:after="0" w:line="252" w:lineRule="auto"/>
            </w:pPr>
            <w:r>
              <w:rPr>
                <w:rFonts w:ascii="Calibri" w:hAnsi="Calibri" w:eastAsia="Calibri"/>
                <w:b/>
                <w:color w:val="0F172A"/>
                <w:sz w:val="17"/>
              </w:rPr>
              <w:t>Decision intelligence</w:t>
            </w:r>
          </w:p>
        </w:tc>
        <w:tc>
          <w:tcPr>
            <w:tcW w:type="dxa" w:w="5200"/>
          </w:tcPr>
          <w:p>
            <w:pPr>
              <w:spacing w:after="0" w:line="252" w:lineRule="auto"/>
            </w:pPr>
            <w:r>
              <w:rPr>
                <w:rFonts w:ascii="Calibri" w:hAnsi="Calibri" w:eastAsia="Calibri"/>
                <w:b w:val="0"/>
                <w:color w:val="0F172A"/>
                <w:sz w:val="17"/>
              </w:rPr>
              <w:t>Impact analysis, assurance planning, release readiness, explanations and residual-risk decisions</w:t>
            </w:r>
          </w:p>
        </w:tc>
        <w:tc>
          <w:tcPr>
            <w:tcW w:type="dxa" w:w="2260"/>
          </w:tcPr>
          <w:p>
            <w:pPr>
              <w:spacing w:after="0" w:line="252" w:lineRule="auto"/>
            </w:pPr>
            <w:r>
              <w:rPr>
                <w:rFonts w:ascii="Calibri" w:hAnsi="Calibri" w:eastAsia="Calibri"/>
                <w:b w:val="0"/>
                <w:color w:val="0F172A"/>
                <w:sz w:val="17"/>
              </w:rPr>
              <w:t>Framework core + policy plugins</w:t>
            </w:r>
          </w:p>
        </w:tc>
      </w:tr>
      <w:tr>
        <w:tc>
          <w:tcPr>
            <w:tcW w:type="dxa" w:w="1900"/>
            <w:shd w:fill="F8FAFC"/>
          </w:tcPr>
          <w:p>
            <w:pPr>
              <w:spacing w:after="0" w:line="252" w:lineRule="auto"/>
            </w:pPr>
            <w:r>
              <w:rPr>
                <w:rFonts w:ascii="Calibri" w:hAnsi="Calibri" w:eastAsia="Calibri"/>
                <w:b/>
                <w:color w:val="0F172A"/>
                <w:sz w:val="17"/>
              </w:rPr>
              <w:t>Context services</w:t>
            </w:r>
          </w:p>
        </w:tc>
        <w:tc>
          <w:tcPr>
            <w:tcW w:type="dxa" w:w="5200"/>
            <w:shd w:fill="F8FAFC"/>
          </w:tcPr>
          <w:p>
            <w:pPr>
              <w:spacing w:after="0" w:line="252" w:lineRule="auto"/>
            </w:pPr>
            <w:r>
              <w:rPr>
                <w:rFonts w:ascii="Calibri" w:hAnsi="Calibri" w:eastAsia="Calibri"/>
                <w:b w:val="0"/>
                <w:color w:val="0F172A"/>
                <w:sz w:val="17"/>
              </w:rPr>
              <w:t>Identity, ontology, snapshots, traceability, hybrid retrieval, evidence and audit</w:t>
            </w:r>
          </w:p>
        </w:tc>
        <w:tc>
          <w:tcPr>
            <w:tcW w:type="dxa" w:w="2260"/>
            <w:shd w:fill="F8FAFC"/>
          </w:tcPr>
          <w:p>
            <w:pPr>
              <w:spacing w:after="0" w:line="252" w:lineRule="auto"/>
            </w:pPr>
            <w:r>
              <w:rPr>
                <w:rFonts w:ascii="Calibri" w:hAnsi="Calibri" w:eastAsia="Calibri"/>
                <w:b w:val="0"/>
                <w:color w:val="0F172A"/>
                <w:sz w:val="17"/>
              </w:rPr>
              <w:t>Framework core + storage adapters</w:t>
            </w:r>
          </w:p>
        </w:tc>
      </w:tr>
      <w:tr>
        <w:tc>
          <w:tcPr>
            <w:tcW w:type="dxa" w:w="1900"/>
          </w:tcPr>
          <w:p>
            <w:pPr>
              <w:spacing w:after="0" w:line="252" w:lineRule="auto"/>
            </w:pPr>
            <w:r>
              <w:rPr>
                <w:rFonts w:ascii="Calibri" w:hAnsi="Calibri" w:eastAsia="Calibri"/>
                <w:b/>
                <w:color w:val="0F172A"/>
                <w:sz w:val="17"/>
              </w:rPr>
              <w:t>Agent services</w:t>
            </w:r>
          </w:p>
        </w:tc>
        <w:tc>
          <w:tcPr>
            <w:tcW w:type="dxa" w:w="5200"/>
          </w:tcPr>
          <w:p>
            <w:pPr>
              <w:spacing w:after="0" w:line="252" w:lineRule="auto"/>
            </w:pPr>
            <w:r>
              <w:rPr>
                <w:rFonts w:ascii="Calibri" w:hAnsi="Calibri" w:eastAsia="Calibri"/>
                <w:b w:val="0"/>
                <w:color w:val="0F172A"/>
                <w:sz w:val="17"/>
              </w:rPr>
              <w:t>Requirement, design, implementation, test and operations agents</w:t>
            </w:r>
          </w:p>
        </w:tc>
        <w:tc>
          <w:tcPr>
            <w:tcW w:type="dxa" w:w="2260"/>
          </w:tcPr>
          <w:p>
            <w:pPr>
              <w:spacing w:after="0" w:line="252" w:lineRule="auto"/>
            </w:pPr>
            <w:r>
              <w:rPr>
                <w:rFonts w:ascii="Calibri" w:hAnsi="Calibri" w:eastAsia="Calibri"/>
                <w:b w:val="0"/>
                <w:color w:val="0F172A"/>
                <w:sz w:val="17"/>
              </w:rPr>
              <w:t>Replaceable providers</w:t>
            </w:r>
          </w:p>
        </w:tc>
      </w:tr>
      <w:tr>
        <w:tc>
          <w:tcPr>
            <w:tcW w:type="dxa" w:w="1900"/>
            <w:shd w:fill="F8FAFC"/>
          </w:tcPr>
          <w:p>
            <w:pPr>
              <w:spacing w:after="0" w:line="252" w:lineRule="auto"/>
            </w:pPr>
            <w:r>
              <w:rPr>
                <w:rFonts w:ascii="Calibri" w:hAnsi="Calibri" w:eastAsia="Calibri"/>
                <w:b/>
                <w:color w:val="0F172A"/>
                <w:sz w:val="17"/>
              </w:rPr>
              <w:t>Execution plane</w:t>
            </w:r>
          </w:p>
        </w:tc>
        <w:tc>
          <w:tcPr>
            <w:tcW w:type="dxa" w:w="5200"/>
            <w:shd w:fill="F8FAFC"/>
          </w:tcPr>
          <w:p>
            <w:pPr>
              <w:spacing w:after="0" w:line="252" w:lineRule="auto"/>
            </w:pPr>
            <w:r>
              <w:rPr>
                <w:rFonts w:ascii="Calibri" w:hAnsi="Calibri" w:eastAsia="Calibri"/>
                <w:b w:val="0"/>
                <w:color w:val="0F172A"/>
                <w:sz w:val="17"/>
              </w:rPr>
              <w:t>Ephemeral workspaces, build, test, test data, deployment and evidence collection</w:t>
            </w:r>
          </w:p>
        </w:tc>
        <w:tc>
          <w:tcPr>
            <w:tcW w:type="dxa" w:w="2260"/>
            <w:shd w:fill="F8FAFC"/>
          </w:tcPr>
          <w:p>
            <w:pPr>
              <w:spacing w:after="0" w:line="252" w:lineRule="auto"/>
            </w:pPr>
            <w:r>
              <w:rPr>
                <w:rFonts w:ascii="Calibri" w:hAnsi="Calibri" w:eastAsia="Calibri"/>
                <w:b w:val="0"/>
                <w:color w:val="0F172A"/>
                <w:sz w:val="17"/>
              </w:rPr>
              <w:t>Client-hosted or managed</w:t>
            </w:r>
          </w:p>
        </w:tc>
      </w:tr>
      <w:tr>
        <w:tc>
          <w:tcPr>
            <w:tcW w:type="dxa" w:w="1900"/>
          </w:tcPr>
          <w:p>
            <w:pPr>
              <w:spacing w:after="0" w:line="252" w:lineRule="auto"/>
            </w:pPr>
            <w:r>
              <w:rPr>
                <w:rFonts w:ascii="Calibri" w:hAnsi="Calibri" w:eastAsia="Calibri"/>
                <w:b/>
                <w:color w:val="0F172A"/>
                <w:sz w:val="17"/>
              </w:rPr>
              <w:t>Integration plane</w:t>
            </w:r>
          </w:p>
        </w:tc>
        <w:tc>
          <w:tcPr>
            <w:tcW w:type="dxa" w:w="5200"/>
          </w:tcPr>
          <w:p>
            <w:pPr>
              <w:spacing w:after="0" w:line="252" w:lineRule="auto"/>
            </w:pPr>
            <w:r>
              <w:rPr>
                <w:rFonts w:ascii="Calibri" w:hAnsi="Calibri" w:eastAsia="Calibri"/>
                <w:b w:val="0"/>
                <w:color w:val="0F172A"/>
                <w:sz w:val="17"/>
              </w:rPr>
              <w:t>Requirements, SCM, CI/CD, catalogs, CMDB, observability and ITSM</w:t>
            </w:r>
          </w:p>
        </w:tc>
        <w:tc>
          <w:tcPr>
            <w:tcW w:type="dxa" w:w="2260"/>
          </w:tcPr>
          <w:p>
            <w:pPr>
              <w:spacing w:after="0" w:line="252" w:lineRule="auto"/>
            </w:pPr>
            <w:r>
              <w:rPr>
                <w:rFonts w:ascii="Calibri" w:hAnsi="Calibri" w:eastAsia="Calibri"/>
                <w:b w:val="0"/>
                <w:color w:val="0F172A"/>
                <w:sz w:val="17"/>
              </w:rPr>
              <w:t>BYO connectors</w:t>
            </w:r>
          </w:p>
        </w:tc>
      </w:tr>
      <w:tr>
        <w:tc>
          <w:tcPr>
            <w:tcW w:type="dxa" w:w="1900"/>
            <w:shd w:fill="F8FAFC"/>
          </w:tcPr>
          <w:p>
            <w:pPr>
              <w:spacing w:after="0" w:line="252" w:lineRule="auto"/>
            </w:pPr>
            <w:r>
              <w:rPr>
                <w:rFonts w:ascii="Calibri" w:hAnsi="Calibri" w:eastAsia="Calibri"/>
                <w:b/>
                <w:color w:val="0F172A"/>
                <w:sz w:val="17"/>
              </w:rPr>
              <w:t>Platform foundation</w:t>
            </w:r>
          </w:p>
        </w:tc>
        <w:tc>
          <w:tcPr>
            <w:tcW w:type="dxa" w:w="5200"/>
            <w:shd w:fill="F8FAFC"/>
          </w:tcPr>
          <w:p>
            <w:pPr>
              <w:spacing w:after="0" w:line="252" w:lineRule="auto"/>
            </w:pPr>
            <w:r>
              <w:rPr>
                <w:rFonts w:ascii="Calibri" w:hAnsi="Calibri" w:eastAsia="Calibri"/>
                <w:b w:val="0"/>
                <w:color w:val="0F172A"/>
                <w:sz w:val="17"/>
              </w:rPr>
              <w:t>Tenancy, security, secrets, telemetry, cost controls, availability and data lifecycle</w:t>
            </w:r>
          </w:p>
        </w:tc>
        <w:tc>
          <w:tcPr>
            <w:tcW w:type="dxa" w:w="2260"/>
            <w:shd w:fill="F8FAFC"/>
          </w:tcPr>
          <w:p>
            <w:pPr>
              <w:spacing w:after="0" w:line="252" w:lineRule="auto"/>
            </w:pPr>
            <w:r>
              <w:rPr>
                <w:rFonts w:ascii="Calibri" w:hAnsi="Calibri" w:eastAsia="Calibri"/>
                <w:b w:val="0"/>
                <w:color w:val="0F172A"/>
                <w:sz w:val="17"/>
              </w:rPr>
              <w:t>Framework core + infrastructure adapters</w:t>
            </w:r>
          </w:p>
        </w:tc>
      </w:tr>
    </w:tbl>
    <w:p>
      <w:pPr>
        <w:spacing w:before="0" w:after="40"/>
      </w:pPr>
    </w:p>
    <w:p>
      <w:pPr>
        <w:pStyle w:val="Heading2"/>
      </w:pPr>
      <w:r>
        <w:t>Core control flow</w:t>
      </w:r>
    </w:p>
    <w:p>
      <w:pPr>
        <w:pStyle w:val="ListBullet"/>
        <w:spacing w:after="100"/>
      </w:pPr>
      <w:r>
        <w:rPr>
          <w:rFonts w:ascii="Calibri" w:hAnsi="Calibri" w:eastAsia="Calibri"/>
          <w:b/>
          <w:color w:val="0F172A"/>
        </w:rPr>
        <w:t>Intent is baselined.</w:t>
      </w:r>
      <w:r>
        <w:rPr>
          <w:rFonts w:ascii="Calibri" w:hAnsi="Calibri" w:eastAsia="Calibri"/>
          <w:color w:val="0F172A"/>
        </w:rPr>
        <w:t xml:space="preserve"> Requirements and acceptance criteria become versioned, resolvable context.</w:t>
      </w:r>
    </w:p>
    <w:p>
      <w:pPr>
        <w:pStyle w:val="ListBullet"/>
        <w:spacing w:after="100"/>
      </w:pPr>
      <w:r>
        <w:rPr>
          <w:rFonts w:ascii="Calibri" w:hAnsi="Calibri" w:eastAsia="Calibri"/>
          <w:b/>
          <w:color w:val="0F172A"/>
        </w:rPr>
        <w:t>Design is authorized.</w:t>
      </w:r>
      <w:r>
        <w:rPr>
          <w:rFonts w:ascii="Calibri" w:hAnsi="Calibri" w:eastAsia="Calibri"/>
          <w:color w:val="0F172A"/>
        </w:rPr>
        <w:t xml:space="preserve"> Proposed scope is evaluated against explained impact, architecture policy and test strategy.</w:t>
      </w:r>
    </w:p>
    <w:p>
      <w:pPr>
        <w:pStyle w:val="ListBullet"/>
        <w:spacing w:after="100"/>
      </w:pPr>
      <w:r>
        <w:rPr>
          <w:rFonts w:ascii="Calibri" w:hAnsi="Calibri" w:eastAsia="Calibri"/>
          <w:b/>
          <w:color w:val="0F172A"/>
        </w:rPr>
        <w:t>Actual change is re-evaluated.</w:t>
      </w:r>
      <w:r>
        <w:rPr>
          <w:rFonts w:ascii="Calibri" w:hAnsi="Calibri" w:eastAsia="Calibri"/>
          <w:color w:val="0F172A"/>
        </w:rPr>
        <w:t xml:space="preserve"> The produced revision pair, not the design narrative, becomes the source for containment and QA.</w:t>
      </w:r>
    </w:p>
    <w:p>
      <w:pPr>
        <w:pStyle w:val="ListBullet"/>
        <w:spacing w:after="100"/>
      </w:pPr>
      <w:r>
        <w:rPr>
          <w:rFonts w:ascii="Calibri" w:hAnsi="Calibri" w:eastAsia="Calibri"/>
          <w:b/>
          <w:color w:val="0F172A"/>
        </w:rPr>
        <w:t>Evidence is observed.</w:t>
      </w:r>
      <w:r>
        <w:rPr>
          <w:rFonts w:ascii="Calibri" w:hAnsi="Calibri" w:eastAsia="Calibri"/>
          <w:color w:val="0F172A"/>
        </w:rPr>
        <w:t xml:space="preserve"> Tests, coverage, security analysis and deployment signals attach to immutable execution attempts.</w:t>
      </w:r>
    </w:p>
    <w:p>
      <w:pPr>
        <w:pStyle w:val="ListBullet"/>
        <w:spacing w:after="100"/>
      </w:pPr>
      <w:r>
        <w:rPr>
          <w:rFonts w:ascii="Calibri" w:hAnsi="Calibri" w:eastAsia="Calibri"/>
          <w:b/>
          <w:color w:val="0F172A"/>
        </w:rPr>
        <w:t>Release is decided.</w:t>
      </w:r>
      <w:r>
        <w:rPr>
          <w:rFonts w:ascii="Calibri" w:hAnsi="Calibri" w:eastAsia="Calibri"/>
          <w:color w:val="0F172A"/>
        </w:rPr>
        <w:t xml:space="preserve"> Policy consumes the same context, assessment and evidence bundle and records a signed decision.</w:t>
      </w:r>
    </w:p>
    <w:p>
      <w:pPr>
        <w:pStyle w:val="ListBullet"/>
        <w:spacing w:after="100"/>
      </w:pPr>
      <w:r>
        <w:rPr>
          <w:rFonts w:ascii="Calibri" w:hAnsi="Calibri" w:eastAsia="Calibri"/>
          <w:b/>
          <w:color w:val="0F172A"/>
        </w:rPr>
        <w:t>Operations close the loop.</w:t>
      </w:r>
      <w:r>
        <w:rPr>
          <w:rFonts w:ascii="Calibri" w:hAnsi="Calibri" w:eastAsia="Calibri"/>
          <w:color w:val="0F172A"/>
        </w:rPr>
        <w:t xml:space="preserve"> Incidents, rollbacks and runtime behavior become labeled outcomes for evaluation.</w:t>
      </w:r>
    </w:p>
    <w:p>
      <w:pPr>
        <w:sectPr>
          <w:headerReference w:type="default" r:id="rId14"/>
          <w:footerReference w:type="default" r:id="rId15"/>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2</w:t>
      </w:r>
    </w:p>
    <w:p>
      <w:pPr>
        <w:pStyle w:val="Heading1"/>
      </w:pPr>
      <w:r>
        <w:t>Enterprise context and evidence fabric</w:t>
      </w:r>
    </w:p>
    <w:p>
      <w:pPr>
        <w:keepLines w:val="0"/>
        <w:spacing w:after="140"/>
        <w:ind w:left="0" w:right="0" w:firstLine="0"/>
        <w:jc w:val="left"/>
      </w:pPr>
      <w:r>
        <w:rPr>
          <w:rFonts w:ascii="Calibri" w:hAnsi="Calibri" w:eastAsia="Calibri"/>
          <w:i w:val="0"/>
          <w:color w:val="0F172A"/>
          <w:sz w:val="19"/>
        </w:rPr>
        <w:t>The fabric is deliberately polyglot: temporal relationships, artifacts, retrieval indexes and evaluation data have different access patterns but share one identity and assertion contract.</w:t>
      </w:r>
    </w:p>
    <w:p>
      <w:pPr>
        <w:keepLines/>
        <w:spacing w:before="40" w:after="40"/>
        <w:jc w:val="center"/>
      </w:pPr>
      <w:r>
        <w:drawing>
          <wp:inline xmlns:a="http://schemas.openxmlformats.org/drawingml/2006/main" xmlns:pic="http://schemas.openxmlformats.org/drawingml/2006/picture">
            <wp:extent cx="8796528" cy="651937"/>
            <wp:docPr id="2" name="Picture 2" descr="Architecture diagram: Enterprise context and evidence fabric. Authoritative enterprise records are normalized into immutable assertions and materialized into purpose-specific context projections."/>
            <wp:cNvGraphicFramePr>
              <a:graphicFrameLocks noChangeAspect="1"/>
            </wp:cNvGraphicFramePr>
            <a:graphic>
              <a:graphicData uri="http://schemas.openxmlformats.org/drawingml/2006/picture">
                <pic:pic>
                  <pic:nvPicPr>
                    <pic:cNvPr id="0" name="02_context_fabric.png"/>
                    <pic:cNvPicPr/>
                  </pic:nvPicPr>
                  <pic:blipFill>
                    <a:blip r:embed="rId18"/>
                    <a:stretch>
                      <a:fillRect/>
                    </a:stretch>
                  </pic:blipFill>
                  <pic:spPr>
                    <a:xfrm>
                      <a:off x="0" y="0"/>
                      <a:ext cx="8796528" cy="651937"/>
                    </a:xfrm>
                    <a:prstGeom prst="rect"/>
                  </pic:spPr>
                </pic:pic>
              </a:graphicData>
            </a:graphic>
          </wp:inline>
        </w:drawing>
      </w:r>
    </w:p>
    <w:p>
      <w:pPr>
        <w:pStyle w:val="Caption"/>
        <w:jc w:val="center"/>
      </w:pPr>
      <w:r>
        <w:t>Figure 2. Authoritative enterprise records are normalized into immutable assertions and materialized into purpose-specific context projections.</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Agents never become systems of record. The fabric resolves identity, preserves evidence and returns answers with provenance, confidence and known gaps.</w:t>
      </w:r>
    </w:p>
    <w:p>
      <w:pPr>
        <w:sectPr>
          <w:headerReference w:type="default" r:id="rId16"/>
          <w:footerReference w:type="default" r:id="rId17"/>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4 | CONTEXT AND EVIDENCE FABRIC</w:t>
      </w:r>
    </w:p>
    <w:p>
      <w:pPr>
        <w:pStyle w:val="Heading1"/>
      </w:pPr>
      <w:r>
        <w:t>Core responsibilities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Capability</w:t>
            </w:r>
          </w:p>
        </w:tc>
        <w:tc>
          <w:tcPr>
            <w:tcW w:type="dxa" w:w="71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Responsibility</w:t>
            </w:r>
          </w:p>
        </w:tc>
      </w:tr>
      <w:tr>
        <w:tc>
          <w:tcPr>
            <w:tcW w:type="dxa" w:w="2200"/>
          </w:tcPr>
          <w:p>
            <w:pPr>
              <w:spacing w:after="0" w:line="252" w:lineRule="auto"/>
            </w:pPr>
            <w:r>
              <w:rPr>
                <w:rFonts w:ascii="Calibri" w:hAnsi="Calibri" w:eastAsia="Calibri"/>
                <w:b/>
                <w:color w:val="0F172A"/>
                <w:sz w:val="18"/>
              </w:rPr>
              <w:t>Scope and identity</w:t>
            </w:r>
          </w:p>
        </w:tc>
        <w:tc>
          <w:tcPr>
            <w:tcW w:type="dxa" w:w="7160"/>
          </w:tcPr>
          <w:p>
            <w:pPr>
              <w:spacing w:after="0" w:line="252" w:lineRule="auto"/>
            </w:pPr>
            <w:r>
              <w:rPr>
                <w:rFonts w:ascii="Calibri" w:hAnsi="Calibri" w:eastAsia="Calibri"/>
                <w:b w:val="0"/>
                <w:color w:val="0F172A"/>
                <w:sz w:val="18"/>
              </w:rPr>
              <w:t>Resolve tenant, project, system, logical entity and immutable revision identities.</w:t>
            </w:r>
          </w:p>
        </w:tc>
      </w:tr>
      <w:tr>
        <w:tc>
          <w:tcPr>
            <w:tcW w:type="dxa" w:w="2200"/>
            <w:shd w:fill="F8FAFC"/>
          </w:tcPr>
          <w:p>
            <w:pPr>
              <w:spacing w:after="0" w:line="252" w:lineRule="auto"/>
            </w:pPr>
            <w:r>
              <w:rPr>
                <w:rFonts w:ascii="Calibri" w:hAnsi="Calibri" w:eastAsia="Calibri"/>
                <w:b/>
                <w:color w:val="0F172A"/>
                <w:sz w:val="18"/>
              </w:rPr>
              <w:t>Ontology and semantics</w:t>
            </w:r>
          </w:p>
        </w:tc>
        <w:tc>
          <w:tcPr>
            <w:tcW w:type="dxa" w:w="7160"/>
            <w:shd w:fill="F8FAFC"/>
          </w:tcPr>
          <w:p>
            <w:pPr>
              <w:spacing w:after="0" w:line="252" w:lineRule="auto"/>
            </w:pPr>
            <w:r>
              <w:rPr>
                <w:rFonts w:ascii="Calibri" w:hAnsi="Calibri" w:eastAsia="Calibri"/>
                <w:b w:val="0"/>
                <w:color w:val="0F172A"/>
                <w:sz w:val="18"/>
              </w:rPr>
              <w:t>Validate entity/relationship types, extension packages, propagation semantics and schema compatibility.</w:t>
            </w:r>
          </w:p>
        </w:tc>
      </w:tr>
      <w:tr>
        <w:tc>
          <w:tcPr>
            <w:tcW w:type="dxa" w:w="2200"/>
          </w:tcPr>
          <w:p>
            <w:pPr>
              <w:spacing w:after="0" w:line="252" w:lineRule="auto"/>
            </w:pPr>
            <w:r>
              <w:rPr>
                <w:rFonts w:ascii="Calibri" w:hAnsi="Calibri" w:eastAsia="Calibri"/>
                <w:b/>
                <w:color w:val="0F172A"/>
                <w:sz w:val="18"/>
              </w:rPr>
              <w:t>Assertion ingestion</w:t>
            </w:r>
          </w:p>
        </w:tc>
        <w:tc>
          <w:tcPr>
            <w:tcW w:type="dxa" w:w="7160"/>
          </w:tcPr>
          <w:p>
            <w:pPr>
              <w:spacing w:after="0" w:line="252" w:lineRule="auto"/>
            </w:pPr>
            <w:r>
              <w:rPr>
                <w:rFonts w:ascii="Calibri" w:hAnsi="Calibri" w:eastAsia="Calibri"/>
                <w:b w:val="0"/>
                <w:color w:val="0F172A"/>
                <w:sz w:val="18"/>
              </w:rPr>
              <w:t>Authorize producers; validate, classify, stamp provenance, deduplicate and append facts.</w:t>
            </w:r>
          </w:p>
        </w:tc>
      </w:tr>
      <w:tr>
        <w:tc>
          <w:tcPr>
            <w:tcW w:type="dxa" w:w="2200"/>
            <w:shd w:fill="F8FAFC"/>
          </w:tcPr>
          <w:p>
            <w:pPr>
              <w:spacing w:after="0" w:line="252" w:lineRule="auto"/>
            </w:pPr>
            <w:r>
              <w:rPr>
                <w:rFonts w:ascii="Calibri" w:hAnsi="Calibri" w:eastAsia="Calibri"/>
                <w:b/>
                <w:color w:val="0F172A"/>
                <w:sz w:val="18"/>
              </w:rPr>
              <w:t>Snapshot lifecycle</w:t>
            </w:r>
          </w:p>
        </w:tc>
        <w:tc>
          <w:tcPr>
            <w:tcW w:type="dxa" w:w="7160"/>
            <w:shd w:fill="F8FAFC"/>
          </w:tcPr>
          <w:p>
            <w:pPr>
              <w:spacing w:after="0" w:line="252" w:lineRule="auto"/>
            </w:pPr>
            <w:r>
              <w:rPr>
                <w:rFonts w:ascii="Calibri" w:hAnsi="Calibri" w:eastAsia="Calibri"/>
                <w:b w:val="0"/>
                <w:color w:val="0F172A"/>
                <w:sz w:val="18"/>
              </w:rPr>
              <w:t>Build, validate and atomically activate complete topology projections.</w:t>
            </w:r>
          </w:p>
        </w:tc>
      </w:tr>
      <w:tr>
        <w:tc>
          <w:tcPr>
            <w:tcW w:type="dxa" w:w="2200"/>
          </w:tcPr>
          <w:p>
            <w:pPr>
              <w:spacing w:after="0" w:line="252" w:lineRule="auto"/>
            </w:pPr>
            <w:r>
              <w:rPr>
                <w:rFonts w:ascii="Calibri" w:hAnsi="Calibri" w:eastAsia="Calibri"/>
                <w:b/>
                <w:color w:val="0F172A"/>
                <w:sz w:val="18"/>
              </w:rPr>
              <w:t>Evidence lifecycle</w:t>
            </w:r>
          </w:p>
        </w:tc>
        <w:tc>
          <w:tcPr>
            <w:tcW w:type="dxa" w:w="7160"/>
          </w:tcPr>
          <w:p>
            <w:pPr>
              <w:spacing w:after="0" w:line="252" w:lineRule="auto"/>
            </w:pPr>
            <w:r>
              <w:rPr>
                <w:rFonts w:ascii="Calibri" w:hAnsi="Calibri" w:eastAsia="Calibri"/>
                <w:b w:val="0"/>
                <w:color w:val="0F172A"/>
                <w:sz w:val="18"/>
              </w:rPr>
              <w:t>Append execution observations, artifacts, defects, overrides and policy decisions without rewriting history.</w:t>
            </w:r>
          </w:p>
        </w:tc>
      </w:tr>
      <w:tr>
        <w:tc>
          <w:tcPr>
            <w:tcW w:type="dxa" w:w="2200"/>
            <w:shd w:fill="F8FAFC"/>
          </w:tcPr>
          <w:p>
            <w:pPr>
              <w:spacing w:after="0" w:line="252" w:lineRule="auto"/>
            </w:pPr>
            <w:r>
              <w:rPr>
                <w:rFonts w:ascii="Calibri" w:hAnsi="Calibri" w:eastAsia="Calibri"/>
                <w:b/>
                <w:color w:val="0F172A"/>
                <w:sz w:val="18"/>
              </w:rPr>
              <w:t>Context query</w:t>
            </w:r>
          </w:p>
        </w:tc>
        <w:tc>
          <w:tcPr>
            <w:tcW w:type="dxa" w:w="7160"/>
            <w:shd w:fill="F8FAFC"/>
          </w:tcPr>
          <w:p>
            <w:pPr>
              <w:spacing w:after="0" w:line="252" w:lineRule="auto"/>
            </w:pPr>
            <w:r>
              <w:rPr>
                <w:rFonts w:ascii="Calibri" w:hAnsi="Calibri" w:eastAsia="Calibri"/>
                <w:b w:val="0"/>
                <w:color w:val="0F172A"/>
                <w:sz w:val="18"/>
              </w:rPr>
              <w:t>Serve current and as-of views, explanation paths, traceability and quality qualifiers.</w:t>
            </w:r>
          </w:p>
        </w:tc>
      </w:tr>
      <w:tr>
        <w:tc>
          <w:tcPr>
            <w:tcW w:type="dxa" w:w="2200"/>
          </w:tcPr>
          <w:p>
            <w:pPr>
              <w:spacing w:after="0" w:line="252" w:lineRule="auto"/>
            </w:pPr>
            <w:r>
              <w:rPr>
                <w:rFonts w:ascii="Calibri" w:hAnsi="Calibri" w:eastAsia="Calibri"/>
                <w:b/>
                <w:color w:val="0F172A"/>
                <w:sz w:val="18"/>
              </w:rPr>
              <w:t>Hybrid retrieval</w:t>
            </w:r>
          </w:p>
        </w:tc>
        <w:tc>
          <w:tcPr>
            <w:tcW w:type="dxa" w:w="7160"/>
          </w:tcPr>
          <w:p>
            <w:pPr>
              <w:spacing w:after="0" w:line="252" w:lineRule="auto"/>
            </w:pPr>
            <w:r>
              <w:rPr>
                <w:rFonts w:ascii="Calibri" w:hAnsi="Calibri" w:eastAsia="Calibri"/>
                <w:b w:val="0"/>
                <w:color w:val="0F172A"/>
                <w:sz w:val="18"/>
              </w:rPr>
              <w:t>Combine semantic, lexical, graph and metadata filters while remaining revision-bound.</w:t>
            </w:r>
          </w:p>
        </w:tc>
      </w:tr>
      <w:tr>
        <w:tc>
          <w:tcPr>
            <w:tcW w:type="dxa" w:w="2200"/>
            <w:shd w:fill="F8FAFC"/>
          </w:tcPr>
          <w:p>
            <w:pPr>
              <w:spacing w:after="0" w:line="252" w:lineRule="auto"/>
            </w:pPr>
            <w:r>
              <w:rPr>
                <w:rFonts w:ascii="Calibri" w:hAnsi="Calibri" w:eastAsia="Calibri"/>
                <w:b/>
                <w:color w:val="0F172A"/>
                <w:sz w:val="18"/>
              </w:rPr>
              <w:t>Reconciliation</w:t>
            </w:r>
          </w:p>
        </w:tc>
        <w:tc>
          <w:tcPr>
            <w:tcW w:type="dxa" w:w="7160"/>
            <w:shd w:fill="F8FAFC"/>
          </w:tcPr>
          <w:p>
            <w:pPr>
              <w:spacing w:after="0" w:line="252" w:lineRule="auto"/>
            </w:pPr>
            <w:r>
              <w:rPr>
                <w:rFonts w:ascii="Calibri" w:hAnsi="Calibri" w:eastAsia="Calibri"/>
                <w:b w:val="0"/>
                <w:color w:val="0F172A"/>
                <w:sz w:val="18"/>
              </w:rPr>
              <w:t>Detect source drift and represent correction through supersede/retract assertions.</w:t>
            </w:r>
          </w:p>
        </w:tc>
      </w:tr>
      <w:tr>
        <w:tc>
          <w:tcPr>
            <w:tcW w:type="dxa" w:w="2200"/>
          </w:tcPr>
          <w:p>
            <w:pPr>
              <w:spacing w:after="0" w:line="252" w:lineRule="auto"/>
            </w:pPr>
            <w:r>
              <w:rPr>
                <w:rFonts w:ascii="Calibri" w:hAnsi="Calibri" w:eastAsia="Calibri"/>
                <w:b/>
                <w:color w:val="0F172A"/>
                <w:sz w:val="18"/>
              </w:rPr>
              <w:t>Evaluation</w:t>
            </w:r>
          </w:p>
        </w:tc>
        <w:tc>
          <w:tcPr>
            <w:tcW w:type="dxa" w:w="7160"/>
          </w:tcPr>
          <w:p>
            <w:pPr>
              <w:spacing w:after="0" w:line="252" w:lineRule="auto"/>
            </w:pPr>
            <w:r>
              <w:rPr>
                <w:rFonts w:ascii="Calibri" w:hAnsi="Calibri" w:eastAsia="Calibri"/>
                <w:b w:val="0"/>
                <w:color w:val="0F172A"/>
                <w:sz w:val="18"/>
              </w:rPr>
              <w:t>Create labeled datasets and measure provider, retrieval, impact and test-selection performance.</w:t>
            </w:r>
          </w:p>
        </w:tc>
      </w:tr>
    </w:tbl>
    <w:p>
      <w:pPr>
        <w:spacing w:before="0" w:after="40"/>
      </w:pPr>
    </w:p>
    <w:p>
      <w:pPr>
        <w:pStyle w:val="Heading2"/>
      </w:pPr>
      <w:r>
        <w:t>Truth classes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0"/>
        <w:gridCol w:w="2750"/>
        <w:gridCol w:w="2550"/>
        <w:gridCol w:w="2660"/>
      </w:tblGrid>
      <w:tr>
        <w:trPr>
          <w:tblHeader w:val="true"/>
        </w:trPr>
        <w:tc>
          <w:tcPr>
            <w:tcW w:type="dxa" w:w="14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Truth class</w:t>
            </w:r>
          </w:p>
        </w:tc>
        <w:tc>
          <w:tcPr>
            <w:tcW w:type="dxa" w:w="275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Examples</w:t>
            </w:r>
          </w:p>
        </w:tc>
        <w:tc>
          <w:tcPr>
            <w:tcW w:type="dxa" w:w="255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Minimum provenance</w:t>
            </w:r>
          </w:p>
        </w:tc>
        <w:tc>
          <w:tcPr>
            <w:tcW w:type="dxa" w:w="26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Lifecycle</w:t>
            </w:r>
          </w:p>
        </w:tc>
      </w:tr>
      <w:tr>
        <w:tc>
          <w:tcPr>
            <w:tcW w:type="dxa" w:w="1400"/>
          </w:tcPr>
          <w:p>
            <w:pPr>
              <w:spacing w:after="0" w:line="252" w:lineRule="auto"/>
            </w:pPr>
            <w:r>
              <w:rPr>
                <w:rFonts w:ascii="Calibri" w:hAnsi="Calibri" w:eastAsia="Calibri"/>
                <w:b/>
                <w:color w:val="0F172A"/>
                <w:sz w:val="16"/>
              </w:rPr>
              <w:t>Authoritative</w:t>
            </w:r>
          </w:p>
        </w:tc>
        <w:tc>
          <w:tcPr>
            <w:tcW w:type="dxa" w:w="2750"/>
          </w:tcPr>
          <w:p>
            <w:pPr>
              <w:spacing w:after="0" w:line="252" w:lineRule="auto"/>
            </w:pPr>
            <w:r>
              <w:rPr>
                <w:rFonts w:ascii="Calibri" w:hAnsi="Calibri" w:eastAsia="Calibri"/>
                <w:b w:val="0"/>
                <w:color w:val="0F172A"/>
                <w:sz w:val="16"/>
              </w:rPr>
              <w:t>Git commit, requirement revision, deployment, test result</w:t>
            </w:r>
          </w:p>
        </w:tc>
        <w:tc>
          <w:tcPr>
            <w:tcW w:type="dxa" w:w="2550"/>
          </w:tcPr>
          <w:p>
            <w:pPr>
              <w:spacing w:after="0" w:line="252" w:lineRule="auto"/>
            </w:pPr>
            <w:r>
              <w:rPr>
                <w:rFonts w:ascii="Calibri" w:hAnsi="Calibri" w:eastAsia="Calibri"/>
                <w:b w:val="0"/>
                <w:color w:val="0F172A"/>
                <w:sz w:val="16"/>
              </w:rPr>
              <w:t>Source-system identity and deep link</w:t>
            </w:r>
          </w:p>
        </w:tc>
        <w:tc>
          <w:tcPr>
            <w:tcW w:type="dxa" w:w="2660"/>
          </w:tcPr>
          <w:p>
            <w:pPr>
              <w:spacing w:after="0" w:line="252" w:lineRule="auto"/>
            </w:pPr>
            <w:r>
              <w:rPr>
                <w:rFonts w:ascii="Calibri" w:hAnsi="Calibri" w:eastAsia="Calibri"/>
                <w:b w:val="0"/>
                <w:color w:val="0F172A"/>
                <w:sz w:val="16"/>
              </w:rPr>
              <w:t>Imported; source remains authoritative</w:t>
            </w:r>
          </w:p>
        </w:tc>
      </w:tr>
      <w:tr>
        <w:tc>
          <w:tcPr>
            <w:tcW w:type="dxa" w:w="1400"/>
            <w:shd w:fill="F8FAFC"/>
          </w:tcPr>
          <w:p>
            <w:pPr>
              <w:spacing w:after="0" w:line="252" w:lineRule="auto"/>
            </w:pPr>
            <w:r>
              <w:rPr>
                <w:rFonts w:ascii="Calibri" w:hAnsi="Calibri" w:eastAsia="Calibri"/>
                <w:b/>
                <w:color w:val="0F172A"/>
                <w:sz w:val="16"/>
              </w:rPr>
              <w:t>Derived</w:t>
            </w:r>
          </w:p>
        </w:tc>
        <w:tc>
          <w:tcPr>
            <w:tcW w:type="dxa" w:w="2750"/>
            <w:shd w:fill="F8FAFC"/>
          </w:tcPr>
          <w:p>
            <w:pPr>
              <w:spacing w:after="0" w:line="252" w:lineRule="auto"/>
            </w:pPr>
            <w:r>
              <w:rPr>
                <w:rFonts w:ascii="Calibri" w:hAnsi="Calibri" w:eastAsia="Calibri"/>
                <w:b w:val="0"/>
                <w:color w:val="0F172A"/>
                <w:sz w:val="16"/>
              </w:rPr>
              <w:t>Static import, API relationship, ownership inference</w:t>
            </w:r>
          </w:p>
        </w:tc>
        <w:tc>
          <w:tcPr>
            <w:tcW w:type="dxa" w:w="2550"/>
            <w:shd w:fill="F8FAFC"/>
          </w:tcPr>
          <w:p>
            <w:pPr>
              <w:spacing w:after="0" w:line="252" w:lineRule="auto"/>
            </w:pPr>
            <w:r>
              <w:rPr>
                <w:rFonts w:ascii="Calibri" w:hAnsi="Calibri" w:eastAsia="Calibri"/>
                <w:b w:val="0"/>
                <w:color w:val="0F172A"/>
                <w:sz w:val="16"/>
              </w:rPr>
              <w:t>Provider version, snapshot and confidence</w:t>
            </w:r>
          </w:p>
        </w:tc>
        <w:tc>
          <w:tcPr>
            <w:tcW w:type="dxa" w:w="2660"/>
            <w:shd w:fill="F8FAFC"/>
          </w:tcPr>
          <w:p>
            <w:pPr>
              <w:spacing w:after="0" w:line="252" w:lineRule="auto"/>
            </w:pPr>
            <w:r>
              <w:rPr>
                <w:rFonts w:ascii="Calibri" w:hAnsi="Calibri" w:eastAsia="Calibri"/>
                <w:b w:val="0"/>
                <w:color w:val="0F172A"/>
                <w:sz w:val="16"/>
              </w:rPr>
              <w:t>Immutable within a topology snapshot</w:t>
            </w:r>
          </w:p>
        </w:tc>
      </w:tr>
      <w:tr>
        <w:tc>
          <w:tcPr>
            <w:tcW w:type="dxa" w:w="1400"/>
          </w:tcPr>
          <w:p>
            <w:pPr>
              <w:spacing w:after="0" w:line="252" w:lineRule="auto"/>
            </w:pPr>
            <w:r>
              <w:rPr>
                <w:rFonts w:ascii="Calibri" w:hAnsi="Calibri" w:eastAsia="Calibri"/>
                <w:b/>
                <w:color w:val="0F172A"/>
                <w:sz w:val="16"/>
              </w:rPr>
              <w:t>Observed</w:t>
            </w:r>
          </w:p>
        </w:tc>
        <w:tc>
          <w:tcPr>
            <w:tcW w:type="dxa" w:w="2750"/>
          </w:tcPr>
          <w:p>
            <w:pPr>
              <w:spacing w:after="0" w:line="252" w:lineRule="auto"/>
            </w:pPr>
            <w:r>
              <w:rPr>
                <w:rFonts w:ascii="Calibri" w:hAnsi="Calibri" w:eastAsia="Calibri"/>
                <w:b w:val="0"/>
                <w:color w:val="0F172A"/>
                <w:sz w:val="16"/>
              </w:rPr>
              <w:t>Runtime call, trace coverage, incident, rollback</w:t>
            </w:r>
          </w:p>
        </w:tc>
        <w:tc>
          <w:tcPr>
            <w:tcW w:type="dxa" w:w="2550"/>
          </w:tcPr>
          <w:p>
            <w:pPr>
              <w:spacing w:after="0" w:line="252" w:lineRule="auto"/>
            </w:pPr>
            <w:r>
              <w:rPr>
                <w:rFonts w:ascii="Calibri" w:hAnsi="Calibri" w:eastAsia="Calibri"/>
                <w:b w:val="0"/>
                <w:color w:val="0F172A"/>
                <w:sz w:val="16"/>
              </w:rPr>
              <w:t>Execution or observation identity</w:t>
            </w:r>
          </w:p>
        </w:tc>
        <w:tc>
          <w:tcPr>
            <w:tcW w:type="dxa" w:w="2660"/>
          </w:tcPr>
          <w:p>
            <w:pPr>
              <w:spacing w:after="0" w:line="252" w:lineRule="auto"/>
            </w:pPr>
            <w:r>
              <w:rPr>
                <w:rFonts w:ascii="Calibri" w:hAnsi="Calibri" w:eastAsia="Calibri"/>
                <w:b w:val="0"/>
                <w:color w:val="0F172A"/>
                <w:sz w:val="16"/>
              </w:rPr>
              <w:t>Append-only evidence</w:t>
            </w:r>
          </w:p>
        </w:tc>
      </w:tr>
      <w:tr>
        <w:tc>
          <w:tcPr>
            <w:tcW w:type="dxa" w:w="1400"/>
            <w:shd w:fill="F8FAFC"/>
          </w:tcPr>
          <w:p>
            <w:pPr>
              <w:spacing w:after="0" w:line="252" w:lineRule="auto"/>
            </w:pPr>
            <w:r>
              <w:rPr>
                <w:rFonts w:ascii="Calibri" w:hAnsi="Calibri" w:eastAsia="Calibri"/>
                <w:b/>
                <w:color w:val="0F172A"/>
                <w:sz w:val="16"/>
              </w:rPr>
              <w:t>Inferred</w:t>
            </w:r>
          </w:p>
        </w:tc>
        <w:tc>
          <w:tcPr>
            <w:tcW w:type="dxa" w:w="2750"/>
            <w:shd w:fill="F8FAFC"/>
          </w:tcPr>
          <w:p>
            <w:pPr>
              <w:spacing w:after="0" w:line="252" w:lineRule="auto"/>
            </w:pPr>
            <w:r>
              <w:rPr>
                <w:rFonts w:ascii="Calibri" w:hAnsi="Calibri" w:eastAsia="Calibri"/>
                <w:b w:val="0"/>
                <w:color w:val="0F172A"/>
                <w:sz w:val="16"/>
              </w:rPr>
              <w:t>LLM-proposed relationship, predicted severity</w:t>
            </w:r>
          </w:p>
        </w:tc>
        <w:tc>
          <w:tcPr>
            <w:tcW w:type="dxa" w:w="2550"/>
            <w:shd w:fill="F8FAFC"/>
          </w:tcPr>
          <w:p>
            <w:pPr>
              <w:spacing w:after="0" w:line="252" w:lineRule="auto"/>
            </w:pPr>
            <w:r>
              <w:rPr>
                <w:rFonts w:ascii="Calibri" w:hAnsi="Calibri" w:eastAsia="Calibri"/>
                <w:b w:val="0"/>
                <w:color w:val="0F172A"/>
                <w:sz w:val="16"/>
              </w:rPr>
              <w:t>Model/prompt/tool versions and confidence</w:t>
            </w:r>
          </w:p>
        </w:tc>
        <w:tc>
          <w:tcPr>
            <w:tcW w:type="dxa" w:w="2660"/>
            <w:shd w:fill="F8FAFC"/>
          </w:tcPr>
          <w:p>
            <w:pPr>
              <w:spacing w:after="0" w:line="252" w:lineRule="auto"/>
            </w:pPr>
            <w:r>
              <w:rPr>
                <w:rFonts w:ascii="Calibri" w:hAnsi="Calibri" w:eastAsia="Calibri"/>
                <w:b w:val="0"/>
                <w:color w:val="0F172A"/>
                <w:sz w:val="16"/>
              </w:rPr>
              <w:t>Reviewable; never silently authoritative</w:t>
            </w:r>
          </w:p>
        </w:tc>
      </w:tr>
    </w:tbl>
    <w:p>
      <w:pPr>
        <w:spacing w:before="0" w:after="40"/>
      </w:pPr>
    </w:p>
    <w:p>
      <w:pPr>
        <w:keepLines/>
        <w:spacing w:before="100" w:after="200"/>
        <w:ind w:left="202" w:right="144"/>
        <w:shd w:fill="FFF7ED"/>
        <w:pBdr>
          <w:left w:val="single" w:sz="22" w:space="8" w:color="D97706"/>
        </w:pBdr>
      </w:pPr>
      <w:r>
        <w:rPr>
          <w:rFonts w:ascii="Calibri" w:hAnsi="Calibri" w:eastAsia="Calibri"/>
          <w:b/>
          <w:color w:val="D97706"/>
          <w:sz w:val="18"/>
        </w:rPr>
        <w:t xml:space="preserve">NON-NEGOTIABLE  </w:t>
      </w:r>
      <w:r>
        <w:rPr>
          <w:rFonts w:ascii="Calibri" w:hAnsi="Calibri" w:eastAsia="Calibri"/>
          <w:b w:val="0"/>
          <w:color w:val="0F172A"/>
          <w:sz w:val="20"/>
        </w:rPr>
        <w:t>A probabilistic inference, compiler-derived relationship and runtime observation must never appear indistinguishable to a consumer or policy.</w:t>
      </w:r>
    </w:p>
    <w:p>
      <w:pPr>
        <w:sectPr>
          <w:headerReference w:type="default" r:id="rId19"/>
          <w:footerReference w:type="default" r:id="rId20"/>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3</w:t>
      </w:r>
    </w:p>
    <w:p>
      <w:pPr>
        <w:pStyle w:val="Heading1"/>
      </w:pPr>
      <w:r>
        <w:t>Temporal identity, assertion and snapshot model</w:t>
      </w:r>
    </w:p>
    <w:p>
      <w:pPr>
        <w:keepLines w:val="0"/>
        <w:spacing w:after="140"/>
        <w:ind w:left="0" w:right="0" w:firstLine="0"/>
        <w:jc w:val="left"/>
      </w:pPr>
      <w:r>
        <w:rPr>
          <w:rFonts w:ascii="Calibri" w:hAnsi="Calibri" w:eastAsia="Calibri"/>
          <w:i w:val="0"/>
          <w:color w:val="0F172A"/>
          <w:sz w:val="19"/>
        </w:rPr>
        <w:t>Historical truth is preserved by separating logical identity, revision identity and assertion identity. Updates append superseding facts rather than mutating old evidence.</w:t>
      </w:r>
    </w:p>
    <w:p>
      <w:pPr>
        <w:keepLines/>
        <w:spacing w:before="40" w:after="40"/>
        <w:jc w:val="center"/>
      </w:pPr>
      <w:r>
        <w:drawing>
          <wp:inline xmlns:a="http://schemas.openxmlformats.org/drawingml/2006/main" xmlns:pic="http://schemas.openxmlformats.org/drawingml/2006/picture">
            <wp:extent cx="8796528" cy="650700"/>
            <wp:docPr id="3" name="Picture 3" descr="Architecture diagram: Temporal identity, assertion and snapshot model. Stable entities are separated from immutable revisions and execution attempts; bitemporal assertions produce reproducible views."/>
            <wp:cNvGraphicFramePr>
              <a:graphicFrameLocks noChangeAspect="1"/>
            </wp:cNvGraphicFramePr>
            <a:graphic>
              <a:graphicData uri="http://schemas.openxmlformats.org/drawingml/2006/picture">
                <pic:pic>
                  <pic:nvPicPr>
                    <pic:cNvPr id="0" name="03_temporal_model.png"/>
                    <pic:cNvPicPr/>
                  </pic:nvPicPr>
                  <pic:blipFill>
                    <a:blip r:embed="rId23"/>
                    <a:stretch>
                      <a:fillRect/>
                    </a:stretch>
                  </pic:blipFill>
                  <pic:spPr>
                    <a:xfrm>
                      <a:off x="0" y="0"/>
                      <a:ext cx="8796528" cy="650700"/>
                    </a:xfrm>
                    <a:prstGeom prst="rect"/>
                  </pic:spPr>
                </pic:pic>
              </a:graphicData>
            </a:graphic>
          </wp:inline>
        </w:drawing>
      </w:r>
    </w:p>
    <w:p>
      <w:pPr>
        <w:pStyle w:val="Caption"/>
        <w:jc w:val="center"/>
      </w:pPr>
      <w:r>
        <w:t>Figure 3. Stable entities are separated from immutable revisions and execution attempts; bitemporal assertions produce reproducible views.</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The framework must answer both what is true now and what was known for a specific revision when a decision was made.</w:t>
      </w:r>
    </w:p>
    <w:p>
      <w:pPr>
        <w:sectPr>
          <w:headerReference w:type="default" r:id="rId21"/>
          <w:footerReference w:type="default" r:id="rId22"/>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5 | SEMANTIC AND TEMPORAL MODEL</w:t>
      </w:r>
    </w:p>
    <w:p>
      <w:pPr>
        <w:pStyle w:val="Heading1"/>
      </w:pPr>
      <w:r>
        <w:t>Canonical domain objects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Object</w:t>
            </w:r>
          </w:p>
        </w:tc>
        <w:tc>
          <w:tcPr>
            <w:tcW w:type="dxa" w:w="71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Purpose</w:t>
            </w:r>
          </w:p>
        </w:tc>
      </w:tr>
      <w:tr>
        <w:tc>
          <w:tcPr>
            <w:tcW w:type="dxa" w:w="2200"/>
          </w:tcPr>
          <w:p>
            <w:pPr>
              <w:spacing w:after="0" w:line="252" w:lineRule="auto"/>
            </w:pPr>
            <w:r>
              <w:rPr>
                <w:rFonts w:ascii="Calibri" w:hAnsi="Calibri" w:eastAsia="Calibri"/>
                <w:b/>
                <w:color w:val="0F172A"/>
                <w:sz w:val="17"/>
              </w:rPr>
              <w:t>ScopeContext</w:t>
            </w:r>
          </w:p>
        </w:tc>
        <w:tc>
          <w:tcPr>
            <w:tcW w:type="dxa" w:w="7160"/>
          </w:tcPr>
          <w:p>
            <w:pPr>
              <w:spacing w:after="0" w:line="252" w:lineRule="auto"/>
            </w:pPr>
            <w:r>
              <w:rPr>
                <w:rFonts w:ascii="Calibri" w:hAnsi="Calibri" w:eastAsia="Calibri"/>
                <w:b w:val="0"/>
                <w:color w:val="0F172A"/>
                <w:sz w:val="17"/>
              </w:rPr>
              <w:t>Mandatory tenant, project, system, repository, revisions, snapshot, policy and execution scope.</w:t>
            </w:r>
          </w:p>
        </w:tc>
      </w:tr>
      <w:tr>
        <w:tc>
          <w:tcPr>
            <w:tcW w:type="dxa" w:w="2200"/>
            <w:shd w:fill="F8FAFC"/>
          </w:tcPr>
          <w:p>
            <w:pPr>
              <w:spacing w:after="0" w:line="252" w:lineRule="auto"/>
            </w:pPr>
            <w:r>
              <w:rPr>
                <w:rFonts w:ascii="Calibri" w:hAnsi="Calibri" w:eastAsia="Calibri"/>
                <w:b/>
                <w:color w:val="0F172A"/>
                <w:sz w:val="17"/>
              </w:rPr>
              <w:t>Entity</w:t>
            </w:r>
          </w:p>
        </w:tc>
        <w:tc>
          <w:tcPr>
            <w:tcW w:type="dxa" w:w="7160"/>
            <w:shd w:fill="F8FAFC"/>
          </w:tcPr>
          <w:p>
            <w:pPr>
              <w:spacing w:after="0" w:line="252" w:lineRule="auto"/>
            </w:pPr>
            <w:r>
              <w:rPr>
                <w:rFonts w:ascii="Calibri" w:hAnsi="Calibri" w:eastAsia="Calibri"/>
                <w:b w:val="0"/>
                <w:color w:val="0F172A"/>
                <w:sz w:val="17"/>
              </w:rPr>
              <w:t>Stable logical identity for a requirement, service, API, artifact, test, environment or release.</w:t>
            </w:r>
          </w:p>
        </w:tc>
      </w:tr>
      <w:tr>
        <w:tc>
          <w:tcPr>
            <w:tcW w:type="dxa" w:w="2200"/>
          </w:tcPr>
          <w:p>
            <w:pPr>
              <w:spacing w:after="0" w:line="252" w:lineRule="auto"/>
            </w:pPr>
            <w:r>
              <w:rPr>
                <w:rFonts w:ascii="Calibri" w:hAnsi="Calibri" w:eastAsia="Calibri"/>
                <w:b/>
                <w:color w:val="0F172A"/>
                <w:sz w:val="17"/>
              </w:rPr>
              <w:t>EntityRevision</w:t>
            </w:r>
          </w:p>
        </w:tc>
        <w:tc>
          <w:tcPr>
            <w:tcW w:type="dxa" w:w="7160"/>
          </w:tcPr>
          <w:p>
            <w:pPr>
              <w:spacing w:after="0" w:line="252" w:lineRule="auto"/>
            </w:pPr>
            <w:r>
              <w:rPr>
                <w:rFonts w:ascii="Calibri" w:hAnsi="Calibri" w:eastAsia="Calibri"/>
                <w:b w:val="0"/>
                <w:color w:val="0F172A"/>
                <w:sz w:val="17"/>
              </w:rPr>
              <w:t>Immutable version of an entity at a source revision or content hash.</w:t>
            </w:r>
          </w:p>
        </w:tc>
      </w:tr>
      <w:tr>
        <w:tc>
          <w:tcPr>
            <w:tcW w:type="dxa" w:w="2200"/>
            <w:shd w:fill="F8FAFC"/>
          </w:tcPr>
          <w:p>
            <w:pPr>
              <w:spacing w:after="0" w:line="252" w:lineRule="auto"/>
            </w:pPr>
            <w:r>
              <w:rPr>
                <w:rFonts w:ascii="Calibri" w:hAnsi="Calibri" w:eastAsia="Calibri"/>
                <w:b/>
                <w:color w:val="0F172A"/>
                <w:sz w:val="17"/>
              </w:rPr>
              <w:t>AssertionEnvelope</w:t>
            </w:r>
          </w:p>
        </w:tc>
        <w:tc>
          <w:tcPr>
            <w:tcW w:type="dxa" w:w="7160"/>
            <w:shd w:fill="F8FAFC"/>
          </w:tcPr>
          <w:p>
            <w:pPr>
              <w:spacing w:after="0" w:line="252" w:lineRule="auto"/>
            </w:pPr>
            <w:r>
              <w:rPr>
                <w:rFonts w:ascii="Calibri" w:hAnsi="Calibri" w:eastAsia="Calibri"/>
                <w:b w:val="0"/>
                <w:color w:val="0F172A"/>
                <w:sz w:val="17"/>
              </w:rPr>
              <w:t>Typed subject-predicate-object statement with provenance, time, confidence and evidence reference.</w:t>
            </w:r>
          </w:p>
        </w:tc>
      </w:tr>
      <w:tr>
        <w:tc>
          <w:tcPr>
            <w:tcW w:type="dxa" w:w="2200"/>
          </w:tcPr>
          <w:p>
            <w:pPr>
              <w:spacing w:after="0" w:line="252" w:lineRule="auto"/>
            </w:pPr>
            <w:r>
              <w:rPr>
                <w:rFonts w:ascii="Calibri" w:hAnsi="Calibri" w:eastAsia="Calibri"/>
                <w:b/>
                <w:color w:val="0F172A"/>
                <w:sz w:val="17"/>
              </w:rPr>
              <w:t>TopologySnapshot</w:t>
            </w:r>
          </w:p>
        </w:tc>
        <w:tc>
          <w:tcPr>
            <w:tcW w:type="dxa" w:w="7160"/>
          </w:tcPr>
          <w:p>
            <w:pPr>
              <w:spacing w:after="0" w:line="252" w:lineRule="auto"/>
            </w:pPr>
            <w:r>
              <w:rPr>
                <w:rFonts w:ascii="Calibri" w:hAnsi="Calibri" w:eastAsia="Calibri"/>
                <w:b w:val="0"/>
                <w:color w:val="0F172A"/>
                <w:sz w:val="17"/>
              </w:rPr>
              <w:t>Validated, complete set of derived topology assertions for an explicit project and revision set.</w:t>
            </w:r>
          </w:p>
        </w:tc>
      </w:tr>
      <w:tr>
        <w:tc>
          <w:tcPr>
            <w:tcW w:type="dxa" w:w="2200"/>
            <w:shd w:fill="F8FAFC"/>
          </w:tcPr>
          <w:p>
            <w:pPr>
              <w:spacing w:after="0" w:line="252" w:lineRule="auto"/>
            </w:pPr>
            <w:r>
              <w:rPr>
                <w:rFonts w:ascii="Calibri" w:hAnsi="Calibri" w:eastAsia="Calibri"/>
                <w:b/>
                <w:color w:val="0F172A"/>
                <w:sz w:val="17"/>
              </w:rPr>
              <w:t>ChangeSet</w:t>
            </w:r>
          </w:p>
        </w:tc>
        <w:tc>
          <w:tcPr>
            <w:tcW w:type="dxa" w:w="7160"/>
            <w:shd w:fill="F8FAFC"/>
          </w:tcPr>
          <w:p>
            <w:pPr>
              <w:spacing w:after="0" w:line="252" w:lineRule="auto"/>
            </w:pPr>
            <w:r>
              <w:rPr>
                <w:rFonts w:ascii="Calibri" w:hAnsi="Calibri" w:eastAsia="Calibri"/>
                <w:b w:val="0"/>
                <w:color w:val="0F172A"/>
                <w:sz w:val="17"/>
              </w:rPr>
              <w:t>Typed comparison between base and head snapshots, including additions, modifications, moves and deletions.</w:t>
            </w:r>
          </w:p>
        </w:tc>
      </w:tr>
      <w:tr>
        <w:tc>
          <w:tcPr>
            <w:tcW w:type="dxa" w:w="2200"/>
          </w:tcPr>
          <w:p>
            <w:pPr>
              <w:spacing w:after="0" w:line="252" w:lineRule="auto"/>
            </w:pPr>
            <w:r>
              <w:rPr>
                <w:rFonts w:ascii="Calibri" w:hAnsi="Calibri" w:eastAsia="Calibri"/>
                <w:b/>
                <w:color w:val="0F172A"/>
                <w:sz w:val="17"/>
              </w:rPr>
              <w:t>ImpactAssessment</w:t>
            </w:r>
          </w:p>
        </w:tc>
        <w:tc>
          <w:tcPr>
            <w:tcW w:type="dxa" w:w="7160"/>
          </w:tcPr>
          <w:p>
            <w:pPr>
              <w:spacing w:after="0" w:line="252" w:lineRule="auto"/>
            </w:pPr>
            <w:r>
              <w:rPr>
                <w:rFonts w:ascii="Calibri" w:hAnsi="Calibri" w:eastAsia="Calibri"/>
                <w:b w:val="0"/>
                <w:color w:val="0F172A"/>
                <w:sz w:val="17"/>
              </w:rPr>
              <w:t>Immutable, explainable consequence model produced from ChangeSet, snapshot and policy versions.</w:t>
            </w:r>
          </w:p>
        </w:tc>
      </w:tr>
      <w:tr>
        <w:tc>
          <w:tcPr>
            <w:tcW w:type="dxa" w:w="2200"/>
            <w:shd w:fill="F8FAFC"/>
          </w:tcPr>
          <w:p>
            <w:pPr>
              <w:spacing w:after="0" w:line="252" w:lineRule="auto"/>
            </w:pPr>
            <w:r>
              <w:rPr>
                <w:rFonts w:ascii="Calibri" w:hAnsi="Calibri" w:eastAsia="Calibri"/>
                <w:b/>
                <w:color w:val="0F172A"/>
                <w:sz w:val="17"/>
              </w:rPr>
              <w:t>ExecutionAttempt</w:t>
            </w:r>
          </w:p>
        </w:tc>
        <w:tc>
          <w:tcPr>
            <w:tcW w:type="dxa" w:w="7160"/>
            <w:shd w:fill="F8FAFC"/>
          </w:tcPr>
          <w:p>
            <w:pPr>
              <w:spacing w:after="0" w:line="252" w:lineRule="auto"/>
            </w:pPr>
            <w:r>
              <w:rPr>
                <w:rFonts w:ascii="Calibri" w:hAnsi="Calibri" w:eastAsia="Calibri"/>
                <w:b w:val="0"/>
                <w:color w:val="0F172A"/>
                <w:sz w:val="17"/>
              </w:rPr>
              <w:t>Immutable performance of a workflow, build, test or deployment at a specific revision.</w:t>
            </w:r>
          </w:p>
        </w:tc>
      </w:tr>
      <w:tr>
        <w:tc>
          <w:tcPr>
            <w:tcW w:type="dxa" w:w="2200"/>
          </w:tcPr>
          <w:p>
            <w:pPr>
              <w:spacing w:after="0" w:line="252" w:lineRule="auto"/>
            </w:pPr>
            <w:r>
              <w:rPr>
                <w:rFonts w:ascii="Calibri" w:hAnsi="Calibri" w:eastAsia="Calibri"/>
                <w:b/>
                <w:color w:val="0F172A"/>
                <w:sz w:val="17"/>
              </w:rPr>
              <w:t>EvidenceObservation</w:t>
            </w:r>
          </w:p>
        </w:tc>
        <w:tc>
          <w:tcPr>
            <w:tcW w:type="dxa" w:w="7160"/>
          </w:tcPr>
          <w:p>
            <w:pPr>
              <w:spacing w:after="0" w:line="252" w:lineRule="auto"/>
            </w:pPr>
            <w:r>
              <w:rPr>
                <w:rFonts w:ascii="Calibri" w:hAnsi="Calibri" w:eastAsia="Calibri"/>
                <w:b w:val="0"/>
                <w:color w:val="0F172A"/>
                <w:sz w:val="17"/>
              </w:rPr>
              <w:t>Observed result or artifact bound to an execution attempt and relevant entity revisions.</w:t>
            </w:r>
          </w:p>
        </w:tc>
      </w:tr>
      <w:tr>
        <w:tc>
          <w:tcPr>
            <w:tcW w:type="dxa" w:w="2200"/>
            <w:shd w:fill="F8FAFC"/>
          </w:tcPr>
          <w:p>
            <w:pPr>
              <w:spacing w:after="0" w:line="252" w:lineRule="auto"/>
            </w:pPr>
            <w:r>
              <w:rPr>
                <w:rFonts w:ascii="Calibri" w:hAnsi="Calibri" w:eastAsia="Calibri"/>
                <w:b/>
                <w:color w:val="0F172A"/>
                <w:sz w:val="17"/>
              </w:rPr>
              <w:t>PolicyDecision</w:t>
            </w:r>
          </w:p>
        </w:tc>
        <w:tc>
          <w:tcPr>
            <w:tcW w:type="dxa" w:w="7160"/>
            <w:shd w:fill="F8FAFC"/>
          </w:tcPr>
          <w:p>
            <w:pPr>
              <w:spacing w:after="0" w:line="252" w:lineRule="auto"/>
            </w:pPr>
            <w:r>
              <w:rPr>
                <w:rFonts w:ascii="Calibri" w:hAnsi="Calibri" w:eastAsia="Calibri"/>
                <w:b w:val="0"/>
                <w:color w:val="0F172A"/>
                <w:sz w:val="17"/>
              </w:rPr>
              <w:t>Signed, reproducible authorization or denial with rule version, inputs and authority.</w:t>
            </w:r>
          </w:p>
        </w:tc>
      </w:tr>
    </w:tbl>
    <w:p>
      <w:pPr>
        <w:spacing w:before="0" w:after="40"/>
      </w:pPr>
    </w:p>
    <w:p>
      <w:pPr>
        <w:pStyle w:val="Heading2"/>
      </w:pPr>
      <w:r>
        <w:t>Mandatory scope contract</w:t>
      </w:r>
    </w:p>
    <w:p>
      <w:pPr>
        <w:spacing w:before="80" w:after="160" w:line="240" w:lineRule="auto"/>
        <w:ind w:left="259" w:right="259"/>
        <w:shd w:fill="F1F5F9"/>
        <w:pBdr>
          <w:left w:val="single" w:sz="12" w:space="6" w:color="475569"/>
        </w:pBdr>
      </w:pPr>
      <w:r>
        <w:rPr>
          <w:rFonts w:ascii="Consolas" w:hAnsi="Consolas" w:eastAsia="Consolas"/>
          <w:color w:val="0F172A"/>
          <w:sz w:val="16"/>
        </w:rPr>
        <w:t>ScopeContext</w:t>
        <w:br/>
        <w:t xml:space="preserve">  tenant_id            required</w:t>
        <w:br/>
        <w:t xml:space="preserve">  project_id           required</w:t>
        <w:br/>
        <w:t xml:space="preserve">  system_ids[]         explicit</w:t>
        <w:br/>
        <w:t xml:space="preserve">  repository_ids[]     explicit</w:t>
        <w:br/>
        <w:t xml:space="preserve">  base_revision        immutable</w:t>
        <w:br/>
        <w:t xml:space="preserve">  head_revision        immutable</w:t>
        <w:br/>
        <w:t xml:space="preserve">  topology_snapshot_id immutable</w:t>
        <w:br/>
        <w:t xml:space="preserve">  policy_version       immutable</w:t>
        <w:br/>
        <w:t xml:space="preserve">  execution_attempt_id optional until execution</w:t>
      </w:r>
    </w:p>
    <w:p>
      <w:pPr>
        <w:pStyle w:val="Heading2"/>
      </w:pPr>
      <w:r>
        <w:t>Snapshot activation invariant</w:t>
      </w:r>
    </w:p>
    <w:p>
      <w:pPr>
        <w:pStyle w:val="ListNumber"/>
        <w:spacing w:after="100"/>
        <w:numPr>
          <w:ilvl w:val="0"/>
          <w:numId w:val="11"/>
        </w:numPr>
      </w:pPr>
      <w:r>
        <w:rPr>
          <w:rFonts w:ascii="Calibri" w:hAnsi="Calibri" w:eastAsia="Calibri"/>
          <w:color w:val="0F172A"/>
        </w:rPr>
        <w:t>Build a complete candidate snapshot and all required projections in an isolated staging scope.</w:t>
      </w:r>
    </w:p>
    <w:p>
      <w:pPr>
        <w:pStyle w:val="ListNumber"/>
        <w:spacing w:after="100"/>
        <w:numPr>
          <w:ilvl w:val="0"/>
          <w:numId w:val="11"/>
        </w:numPr>
      </w:pPr>
      <w:r>
        <w:rPr>
          <w:rFonts w:ascii="Calibri" w:hAnsi="Calibri" w:eastAsia="Calibri"/>
          <w:color w:val="0F172A"/>
        </w:rPr>
        <w:t>Validate schema, provenance, identity integrity, provider health, coverage and quality thresholds.</w:t>
      </w:r>
    </w:p>
    <w:p>
      <w:pPr>
        <w:pStyle w:val="ListNumber"/>
        <w:spacing w:after="100"/>
        <w:numPr>
          <w:ilvl w:val="0"/>
          <w:numId w:val="11"/>
        </w:numPr>
      </w:pPr>
      <w:r>
        <w:rPr>
          <w:rFonts w:ascii="Calibri" w:hAnsi="Calibri" w:eastAsia="Calibri"/>
          <w:color w:val="0F172A"/>
        </w:rPr>
        <w:t>Sign the snapshot manifest and compute content checksums.</w:t>
      </w:r>
    </w:p>
    <w:p>
      <w:pPr>
        <w:pStyle w:val="ListNumber"/>
        <w:spacing w:after="100"/>
        <w:numPr>
          <w:ilvl w:val="0"/>
          <w:numId w:val="11"/>
        </w:numPr>
      </w:pPr>
      <w:r>
        <w:rPr>
          <w:rFonts w:ascii="Calibri" w:hAnsi="Calibri" w:eastAsia="Calibri"/>
          <w:color w:val="0F172A"/>
        </w:rPr>
        <w:t>Atomically move the active pointer; a failed build leaves the previous snapshot untouched.</w:t>
      </w:r>
    </w:p>
    <w:p>
      <w:pPr>
        <w:pStyle w:val="ListNumber"/>
        <w:spacing w:after="100"/>
        <w:numPr>
          <w:ilvl w:val="0"/>
          <w:numId w:val="11"/>
        </w:numPr>
      </w:pPr>
      <w:r>
        <w:rPr>
          <w:rFonts w:ascii="Calibri" w:hAnsi="Calibri" w:eastAsia="Calibri"/>
          <w:color w:val="0F172A"/>
        </w:rPr>
        <w:t>Retain historical snapshots according to policy and preserve every assessment's referenced snapshot.</w:t>
      </w:r>
    </w:p>
    <w:p>
      <w:pPr>
        <w:sectPr>
          <w:headerReference w:type="default" r:id="rId24"/>
          <w:footerReference w:type="default" r:id="rId25"/>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4</w:t>
      </w:r>
    </w:p>
    <w:p>
      <w:pPr>
        <w:pStyle w:val="Heading1"/>
      </w:pPr>
      <w:r>
        <w:t>Multi-signal canonical Impact Engine</w:t>
      </w:r>
    </w:p>
    <w:p>
      <w:pPr>
        <w:keepLines w:val="0"/>
        <w:spacing w:after="140"/>
        <w:ind w:left="0" w:right="0" w:firstLine="0"/>
        <w:jc w:val="left"/>
      </w:pPr>
      <w:r>
        <w:rPr>
          <w:rFonts w:ascii="Calibri" w:hAnsi="Calibri" w:eastAsia="Calibri"/>
          <w:i w:val="0"/>
          <w:color w:val="0F172A"/>
          <w:sz w:val="19"/>
        </w:rPr>
        <w:t>The engine fuses static, contract, runtime, deployment, business and quality signals. Client policy controls how evidence classes propagate and when uncertainty blocks progression.</w:t>
      </w:r>
    </w:p>
    <w:p>
      <w:pPr>
        <w:keepLines/>
        <w:spacing w:before="40" w:after="40"/>
        <w:jc w:val="center"/>
      </w:pPr>
      <w:r>
        <w:drawing>
          <wp:inline xmlns:a="http://schemas.openxmlformats.org/drawingml/2006/main" xmlns:pic="http://schemas.openxmlformats.org/drawingml/2006/picture">
            <wp:extent cx="8796528" cy="904241"/>
            <wp:docPr id="4" name="Picture 4" descr="Architecture diagram: Multi-signal canonical Impact Engine. A revision pair is semantically analyzed, expanded across typed relationship signals and converted into explained impact tiers."/>
            <wp:cNvGraphicFramePr>
              <a:graphicFrameLocks noChangeAspect="1"/>
            </wp:cNvGraphicFramePr>
            <a:graphic>
              <a:graphicData uri="http://schemas.openxmlformats.org/drawingml/2006/picture">
                <pic:pic>
                  <pic:nvPicPr>
                    <pic:cNvPr id="0" name="04_impact_engine.png"/>
                    <pic:cNvPicPr/>
                  </pic:nvPicPr>
                  <pic:blipFill>
                    <a:blip r:embed="rId28"/>
                    <a:stretch>
                      <a:fillRect/>
                    </a:stretch>
                  </pic:blipFill>
                  <pic:spPr>
                    <a:xfrm>
                      <a:off x="0" y="0"/>
                      <a:ext cx="8796528" cy="904241"/>
                    </a:xfrm>
                    <a:prstGeom prst="rect"/>
                  </pic:spPr>
                </pic:pic>
              </a:graphicData>
            </a:graphic>
          </wp:inline>
        </w:drawing>
      </w:r>
    </w:p>
    <w:p>
      <w:pPr>
        <w:pStyle w:val="Caption"/>
        <w:jc w:val="center"/>
      </w:pPr>
      <w:r>
        <w:t>Figure 4. A revision pair is semantically analyzed, expanded across typed relationship signals and converted into explained impact tiers.</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There is no magical blast-radius number. The platform produces tiered consequences, reason paths and explicit unknowns that every lifecycle consumer shares.</w:t>
      </w:r>
    </w:p>
    <w:p>
      <w:pPr>
        <w:sectPr>
          <w:headerReference w:type="default" r:id="rId26"/>
          <w:footerReference w:type="default" r:id="rId27"/>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6 | CANONICAL IMPACT ENGINE</w:t>
      </w:r>
    </w:p>
    <w:p>
      <w:pPr>
        <w:pStyle w:val="Heading1"/>
      </w:pPr>
      <w:r>
        <w:t>Impact as a first-class decision artifact</w:t>
      </w:r>
    </w:p>
    <w:p>
      <w:pPr>
        <w:keepLines w:val="0"/>
        <w:spacing w:after="120"/>
        <w:ind w:left="0" w:right="0" w:firstLine="0"/>
        <w:jc w:val="left"/>
      </w:pPr>
      <w:r>
        <w:rPr>
          <w:rFonts w:ascii="Calibri" w:hAnsi="Calibri" w:eastAsia="Calibri"/>
          <w:i w:val="0"/>
          <w:color w:val="0F172A"/>
        </w:rPr>
        <w:t>The Impact Engine is the platform's primary differentiator. It converts a concrete revision pair into a reproducible assessment. Different lifecycle stages may apply different policies to the assessment, but they must not maintain independent traversal algorithms or hidden dependency models.</w:t>
      </w:r>
    </w:p>
    <w:p>
      <w:pPr>
        <w:pStyle w:val="Heading2"/>
      </w:pPr>
      <w:r>
        <w:t>Processing stages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tblHeader w:val="true"/>
        </w:trPr>
        <w:tc>
          <w:tcPr>
            <w:tcW w:type="dxa" w:w="25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Stage</w:t>
            </w:r>
          </w:p>
        </w:tc>
        <w:tc>
          <w:tcPr>
            <w:tcW w:type="dxa" w:w="68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Design responsibility</w:t>
            </w:r>
          </w:p>
        </w:tc>
      </w:tr>
      <w:tr>
        <w:tc>
          <w:tcPr>
            <w:tcW w:type="dxa" w:w="2500"/>
          </w:tcPr>
          <w:p>
            <w:pPr>
              <w:spacing w:after="0" w:line="252" w:lineRule="auto"/>
            </w:pPr>
            <w:r>
              <w:rPr>
                <w:rFonts w:ascii="Calibri" w:hAnsi="Calibri" w:eastAsia="Calibri"/>
                <w:b/>
                <w:color w:val="0F172A"/>
                <w:sz w:val="17"/>
              </w:rPr>
              <w:t>1. Semantic change analysis</w:t>
            </w:r>
          </w:p>
        </w:tc>
        <w:tc>
          <w:tcPr>
            <w:tcW w:type="dxa" w:w="6860"/>
          </w:tcPr>
          <w:p>
            <w:pPr>
              <w:spacing w:after="0" w:line="252" w:lineRule="auto"/>
            </w:pPr>
            <w:r>
              <w:rPr>
                <w:rFonts w:ascii="Calibri" w:hAnsi="Calibri" w:eastAsia="Calibri"/>
                <w:b w:val="0"/>
                <w:color w:val="0F172A"/>
                <w:sz w:val="17"/>
              </w:rPr>
              <w:t>Identify changed symbols, contracts, schemas, configuration, infrastructure and behavior; preserve adds, deletes and renames.</w:t>
            </w:r>
          </w:p>
        </w:tc>
      </w:tr>
      <w:tr>
        <w:tc>
          <w:tcPr>
            <w:tcW w:type="dxa" w:w="2500"/>
            <w:shd w:fill="F8FAFC"/>
          </w:tcPr>
          <w:p>
            <w:pPr>
              <w:spacing w:after="0" w:line="252" w:lineRule="auto"/>
            </w:pPr>
            <w:r>
              <w:rPr>
                <w:rFonts w:ascii="Calibri" w:hAnsi="Calibri" w:eastAsia="Calibri"/>
                <w:b/>
                <w:color w:val="0F172A"/>
                <w:sz w:val="17"/>
              </w:rPr>
              <w:t>2. Seed resolution</w:t>
            </w:r>
          </w:p>
        </w:tc>
        <w:tc>
          <w:tcPr>
            <w:tcW w:type="dxa" w:w="6860"/>
            <w:shd w:fill="F8FAFC"/>
          </w:tcPr>
          <w:p>
            <w:pPr>
              <w:spacing w:after="0" w:line="252" w:lineRule="auto"/>
            </w:pPr>
            <w:r>
              <w:rPr>
                <w:rFonts w:ascii="Calibri" w:hAnsi="Calibri" w:eastAsia="Calibri"/>
                <w:b w:val="0"/>
                <w:color w:val="0F172A"/>
                <w:sz w:val="17"/>
              </w:rPr>
              <w:t>Resolve changed artifacts to modules, services, APIs, requirements and ownership; isolate unmapped changes.</w:t>
            </w:r>
          </w:p>
        </w:tc>
      </w:tr>
      <w:tr>
        <w:tc>
          <w:tcPr>
            <w:tcW w:type="dxa" w:w="2500"/>
          </w:tcPr>
          <w:p>
            <w:pPr>
              <w:spacing w:after="0" w:line="252" w:lineRule="auto"/>
            </w:pPr>
            <w:r>
              <w:rPr>
                <w:rFonts w:ascii="Calibri" w:hAnsi="Calibri" w:eastAsia="Calibri"/>
                <w:b/>
                <w:color w:val="0F172A"/>
                <w:sz w:val="17"/>
              </w:rPr>
              <w:t>3. Typed propagation</w:t>
            </w:r>
          </w:p>
        </w:tc>
        <w:tc>
          <w:tcPr>
            <w:tcW w:type="dxa" w:w="6860"/>
          </w:tcPr>
          <w:p>
            <w:pPr>
              <w:spacing w:after="0" w:line="252" w:lineRule="auto"/>
            </w:pPr>
            <w:r>
              <w:rPr>
                <w:rFonts w:ascii="Calibri" w:hAnsi="Calibri" w:eastAsia="Calibri"/>
                <w:b w:val="0"/>
                <w:color w:val="0F172A"/>
                <w:sz w:val="17"/>
              </w:rPr>
              <w:t>Traverse relationships using provider-defined direction, change triggers, budgets and evidence class.</w:t>
            </w:r>
          </w:p>
        </w:tc>
      </w:tr>
      <w:tr>
        <w:tc>
          <w:tcPr>
            <w:tcW w:type="dxa" w:w="2500"/>
            <w:shd w:fill="F8FAFC"/>
          </w:tcPr>
          <w:p>
            <w:pPr>
              <w:spacing w:after="0" w:line="252" w:lineRule="auto"/>
            </w:pPr>
            <w:r>
              <w:rPr>
                <w:rFonts w:ascii="Calibri" w:hAnsi="Calibri" w:eastAsia="Calibri"/>
                <w:b/>
                <w:color w:val="0F172A"/>
                <w:sz w:val="17"/>
              </w:rPr>
              <w:t>4. Signal fusion</w:t>
            </w:r>
          </w:p>
        </w:tc>
        <w:tc>
          <w:tcPr>
            <w:tcW w:type="dxa" w:w="6860"/>
            <w:shd w:fill="F8FAFC"/>
          </w:tcPr>
          <w:p>
            <w:pPr>
              <w:spacing w:after="0" w:line="252" w:lineRule="auto"/>
            </w:pPr>
            <w:r>
              <w:rPr>
                <w:rFonts w:ascii="Calibri" w:hAnsi="Calibri" w:eastAsia="Calibri"/>
                <w:b w:val="0"/>
                <w:color w:val="0F172A"/>
                <w:sz w:val="17"/>
              </w:rPr>
              <w:t>Combine path strength, business criticality, source quality, freshness, runtime evidence and historical outcomes.</w:t>
            </w:r>
          </w:p>
        </w:tc>
      </w:tr>
      <w:tr>
        <w:tc>
          <w:tcPr>
            <w:tcW w:type="dxa" w:w="2500"/>
          </w:tcPr>
          <w:p>
            <w:pPr>
              <w:spacing w:after="0" w:line="252" w:lineRule="auto"/>
            </w:pPr>
            <w:r>
              <w:rPr>
                <w:rFonts w:ascii="Calibri" w:hAnsi="Calibri" w:eastAsia="Calibri"/>
                <w:b/>
                <w:color w:val="0F172A"/>
                <w:sz w:val="17"/>
              </w:rPr>
              <w:t>5. Tiering and obligations</w:t>
            </w:r>
          </w:p>
        </w:tc>
        <w:tc>
          <w:tcPr>
            <w:tcW w:type="dxa" w:w="6860"/>
          </w:tcPr>
          <w:p>
            <w:pPr>
              <w:spacing w:after="0" w:line="252" w:lineRule="auto"/>
            </w:pPr>
            <w:r>
              <w:rPr>
                <w:rFonts w:ascii="Calibri" w:hAnsi="Calibri" w:eastAsia="Calibri"/>
                <w:b w:val="0"/>
                <w:color w:val="0F172A"/>
                <w:sz w:val="17"/>
              </w:rPr>
              <w:t>Assign direct, mandatory, probable, monitoring and unknown tiers; synthesize test and review obligations.</w:t>
            </w:r>
          </w:p>
        </w:tc>
      </w:tr>
      <w:tr>
        <w:tc>
          <w:tcPr>
            <w:tcW w:type="dxa" w:w="2500"/>
            <w:shd w:fill="F8FAFC"/>
          </w:tcPr>
          <w:p>
            <w:pPr>
              <w:spacing w:after="0" w:line="252" w:lineRule="auto"/>
            </w:pPr>
            <w:r>
              <w:rPr>
                <w:rFonts w:ascii="Calibri" w:hAnsi="Calibri" w:eastAsia="Calibri"/>
                <w:b/>
                <w:color w:val="0F172A"/>
                <w:sz w:val="17"/>
              </w:rPr>
              <w:t>6. Policy evaluation</w:t>
            </w:r>
          </w:p>
        </w:tc>
        <w:tc>
          <w:tcPr>
            <w:tcW w:type="dxa" w:w="6860"/>
            <w:shd w:fill="F8FAFC"/>
          </w:tcPr>
          <w:p>
            <w:pPr>
              <w:spacing w:after="0" w:line="252" w:lineRule="auto"/>
            </w:pPr>
            <w:r>
              <w:rPr>
                <w:rFonts w:ascii="Calibri" w:hAnsi="Calibri" w:eastAsia="Calibri"/>
                <w:b w:val="0"/>
                <w:color w:val="0F172A"/>
                <w:sz w:val="17"/>
              </w:rPr>
              <w:t>Apply client risk tolerance, regulated controls, criticality and human-approval thresholds.</w:t>
            </w:r>
          </w:p>
        </w:tc>
      </w:tr>
      <w:tr>
        <w:tc>
          <w:tcPr>
            <w:tcW w:type="dxa" w:w="2500"/>
          </w:tcPr>
          <w:p>
            <w:pPr>
              <w:spacing w:after="0" w:line="252" w:lineRule="auto"/>
            </w:pPr>
            <w:r>
              <w:rPr>
                <w:rFonts w:ascii="Calibri" w:hAnsi="Calibri" w:eastAsia="Calibri"/>
                <w:b/>
                <w:color w:val="0F172A"/>
                <w:sz w:val="17"/>
              </w:rPr>
              <w:t>7. Explanation</w:t>
            </w:r>
          </w:p>
        </w:tc>
        <w:tc>
          <w:tcPr>
            <w:tcW w:type="dxa" w:w="6860"/>
          </w:tcPr>
          <w:p>
            <w:pPr>
              <w:spacing w:after="0" w:line="252" w:lineRule="auto"/>
            </w:pPr>
            <w:r>
              <w:rPr>
                <w:rFonts w:ascii="Calibri" w:hAnsi="Calibri" w:eastAsia="Calibri"/>
                <w:b w:val="0"/>
                <w:color w:val="0F172A"/>
                <w:sz w:val="17"/>
              </w:rPr>
              <w:t>Return complete reason paths, provenance, blind spots, algorithm version and residual risk.</w:t>
            </w:r>
          </w:p>
        </w:tc>
      </w:tr>
    </w:tbl>
    <w:p>
      <w:pPr>
        <w:spacing w:before="0" w:after="40"/>
      </w:pPr>
    </w:p>
    <w:p>
      <w:pPr>
        <w:pStyle w:val="Heading2"/>
      </w:pPr>
      <w:r>
        <w:t>Impact tiers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3850"/>
        <w:gridCol w:w="3810"/>
      </w:tblGrid>
      <w:tr>
        <w:trPr>
          <w:tblHeader w:val="true"/>
        </w:trPr>
        <w:tc>
          <w:tcPr>
            <w:tcW w:type="dxa" w:w="17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Tier</w:t>
            </w:r>
          </w:p>
        </w:tc>
        <w:tc>
          <w:tcPr>
            <w:tcW w:type="dxa" w:w="385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Meaning</w:t>
            </w:r>
          </w:p>
        </w:tc>
        <w:tc>
          <w:tcPr>
            <w:tcW w:type="dxa" w:w="381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Default treatment</w:t>
            </w:r>
          </w:p>
        </w:tc>
      </w:tr>
      <w:tr>
        <w:tc>
          <w:tcPr>
            <w:tcW w:type="dxa" w:w="1700"/>
          </w:tcPr>
          <w:p>
            <w:pPr>
              <w:spacing w:after="0" w:line="252" w:lineRule="auto"/>
            </w:pPr>
            <w:r>
              <w:rPr>
                <w:rFonts w:ascii="Calibri" w:hAnsi="Calibri" w:eastAsia="Calibri"/>
                <w:b/>
                <w:color w:val="0F172A"/>
                <w:sz w:val="18"/>
              </w:rPr>
              <w:t>T0 - Direct</w:t>
            </w:r>
          </w:p>
        </w:tc>
        <w:tc>
          <w:tcPr>
            <w:tcW w:type="dxa" w:w="3850"/>
          </w:tcPr>
          <w:p>
            <w:pPr>
              <w:spacing w:after="0" w:line="252" w:lineRule="auto"/>
            </w:pPr>
            <w:r>
              <w:rPr>
                <w:rFonts w:ascii="Calibri" w:hAnsi="Calibri" w:eastAsia="Calibri"/>
                <w:b w:val="0"/>
                <w:color w:val="0F172A"/>
                <w:sz w:val="18"/>
              </w:rPr>
              <w:t>Changed entity or contract</w:t>
            </w:r>
          </w:p>
        </w:tc>
        <w:tc>
          <w:tcPr>
            <w:tcW w:type="dxa" w:w="3810"/>
          </w:tcPr>
          <w:p>
            <w:pPr>
              <w:spacing w:after="0" w:line="252" w:lineRule="auto"/>
            </w:pPr>
            <w:r>
              <w:rPr>
                <w:rFonts w:ascii="Calibri" w:hAnsi="Calibri" w:eastAsia="Calibri"/>
                <w:b w:val="0"/>
                <w:color w:val="0F172A"/>
                <w:sz w:val="18"/>
              </w:rPr>
              <w:t>Always inspect; direct tests and owners</w:t>
            </w:r>
          </w:p>
        </w:tc>
      </w:tr>
      <w:tr>
        <w:tc>
          <w:tcPr>
            <w:tcW w:type="dxa" w:w="1700"/>
            <w:shd w:fill="F8FAFC"/>
          </w:tcPr>
          <w:p>
            <w:pPr>
              <w:spacing w:after="0" w:line="252" w:lineRule="auto"/>
            </w:pPr>
            <w:r>
              <w:rPr>
                <w:rFonts w:ascii="Calibri" w:hAnsi="Calibri" w:eastAsia="Calibri"/>
                <w:b/>
                <w:color w:val="0F172A"/>
                <w:sz w:val="18"/>
              </w:rPr>
              <w:t>T1 - Mandatory</w:t>
            </w:r>
          </w:p>
        </w:tc>
        <w:tc>
          <w:tcPr>
            <w:tcW w:type="dxa" w:w="3850"/>
            <w:shd w:fill="F8FAFC"/>
          </w:tcPr>
          <w:p>
            <w:pPr>
              <w:spacing w:after="0" w:line="252" w:lineRule="auto"/>
            </w:pPr>
            <w:r>
              <w:rPr>
                <w:rFonts w:ascii="Calibri" w:hAnsi="Calibri" w:eastAsia="Calibri"/>
                <w:b w:val="0"/>
                <w:color w:val="0F172A"/>
                <w:sz w:val="18"/>
              </w:rPr>
              <w:t>High-confidence consequence or policy-critical dependency</w:t>
            </w:r>
          </w:p>
        </w:tc>
        <w:tc>
          <w:tcPr>
            <w:tcW w:type="dxa" w:w="3810"/>
            <w:shd w:fill="F8FAFC"/>
          </w:tcPr>
          <w:p>
            <w:pPr>
              <w:spacing w:after="0" w:line="252" w:lineRule="auto"/>
            </w:pPr>
            <w:r>
              <w:rPr>
                <w:rFonts w:ascii="Calibri" w:hAnsi="Calibri" w:eastAsia="Calibri"/>
                <w:b w:val="0"/>
                <w:color w:val="0F172A"/>
                <w:sz w:val="18"/>
              </w:rPr>
              <w:t>Must inspect and must satisfy test obligation</w:t>
            </w:r>
          </w:p>
        </w:tc>
      </w:tr>
      <w:tr>
        <w:tc>
          <w:tcPr>
            <w:tcW w:type="dxa" w:w="1700"/>
          </w:tcPr>
          <w:p>
            <w:pPr>
              <w:spacing w:after="0" w:line="252" w:lineRule="auto"/>
            </w:pPr>
            <w:r>
              <w:rPr>
                <w:rFonts w:ascii="Calibri" w:hAnsi="Calibri" w:eastAsia="Calibri"/>
                <w:b/>
                <w:color w:val="0F172A"/>
                <w:sz w:val="18"/>
              </w:rPr>
              <w:t>T2 - Probable</w:t>
            </w:r>
          </w:p>
        </w:tc>
        <w:tc>
          <w:tcPr>
            <w:tcW w:type="dxa" w:w="3850"/>
          </w:tcPr>
          <w:p>
            <w:pPr>
              <w:spacing w:after="0" w:line="252" w:lineRule="auto"/>
            </w:pPr>
            <w:r>
              <w:rPr>
                <w:rFonts w:ascii="Calibri" w:hAnsi="Calibri" w:eastAsia="Calibri"/>
                <w:b w:val="0"/>
                <w:color w:val="0F172A"/>
                <w:sz w:val="18"/>
              </w:rPr>
              <w:t>Material downstream likelihood with adequate evidence</w:t>
            </w:r>
          </w:p>
        </w:tc>
        <w:tc>
          <w:tcPr>
            <w:tcW w:type="dxa" w:w="3810"/>
          </w:tcPr>
          <w:p>
            <w:pPr>
              <w:spacing w:after="0" w:line="252" w:lineRule="auto"/>
            </w:pPr>
            <w:r>
              <w:rPr>
                <w:rFonts w:ascii="Calibri" w:hAnsi="Calibri" w:eastAsia="Calibri"/>
                <w:b w:val="0"/>
                <w:color w:val="0F172A"/>
                <w:sz w:val="18"/>
              </w:rPr>
              <w:t>Risk-based test or explicit acceptance</w:t>
            </w:r>
          </w:p>
        </w:tc>
      </w:tr>
      <w:tr>
        <w:tc>
          <w:tcPr>
            <w:tcW w:type="dxa" w:w="1700"/>
            <w:shd w:fill="F8FAFC"/>
          </w:tcPr>
          <w:p>
            <w:pPr>
              <w:spacing w:after="0" w:line="252" w:lineRule="auto"/>
            </w:pPr>
            <w:r>
              <w:rPr>
                <w:rFonts w:ascii="Calibri" w:hAnsi="Calibri" w:eastAsia="Calibri"/>
                <w:b/>
                <w:color w:val="0F172A"/>
                <w:sz w:val="18"/>
              </w:rPr>
              <w:t>T3 - Monitor</w:t>
            </w:r>
          </w:p>
        </w:tc>
        <w:tc>
          <w:tcPr>
            <w:tcW w:type="dxa" w:w="3850"/>
            <w:shd w:fill="F8FAFC"/>
          </w:tcPr>
          <w:p>
            <w:pPr>
              <w:spacing w:after="0" w:line="252" w:lineRule="auto"/>
            </w:pPr>
            <w:r>
              <w:rPr>
                <w:rFonts w:ascii="Calibri" w:hAnsi="Calibri" w:eastAsia="Calibri"/>
                <w:b w:val="0"/>
                <w:color w:val="0F172A"/>
                <w:sz w:val="18"/>
              </w:rPr>
              <w:t>Weak, long-range or operational relationship</w:t>
            </w:r>
          </w:p>
        </w:tc>
        <w:tc>
          <w:tcPr>
            <w:tcW w:type="dxa" w:w="3810"/>
            <w:shd w:fill="F8FAFC"/>
          </w:tcPr>
          <w:p>
            <w:pPr>
              <w:spacing w:after="0" w:line="252" w:lineRule="auto"/>
            </w:pPr>
            <w:r>
              <w:rPr>
                <w:rFonts w:ascii="Calibri" w:hAnsi="Calibri" w:eastAsia="Calibri"/>
                <w:b w:val="0"/>
                <w:color w:val="0F172A"/>
                <w:sz w:val="18"/>
              </w:rPr>
              <w:t>Notify, observe or include under elevated risk</w:t>
            </w:r>
          </w:p>
        </w:tc>
      </w:tr>
      <w:tr>
        <w:tc>
          <w:tcPr>
            <w:tcW w:type="dxa" w:w="1700"/>
          </w:tcPr>
          <w:p>
            <w:pPr>
              <w:spacing w:after="0" w:line="252" w:lineRule="auto"/>
            </w:pPr>
            <w:r>
              <w:rPr>
                <w:rFonts w:ascii="Calibri" w:hAnsi="Calibri" w:eastAsia="Calibri"/>
                <w:b/>
                <w:color w:val="0F172A"/>
                <w:sz w:val="18"/>
              </w:rPr>
              <w:t>Unknown</w:t>
            </w:r>
          </w:p>
        </w:tc>
        <w:tc>
          <w:tcPr>
            <w:tcW w:type="dxa" w:w="3850"/>
          </w:tcPr>
          <w:p>
            <w:pPr>
              <w:spacing w:after="0" w:line="252" w:lineRule="auto"/>
            </w:pPr>
            <w:r>
              <w:rPr>
                <w:rFonts w:ascii="Calibri" w:hAnsi="Calibri" w:eastAsia="Calibri"/>
                <w:b w:val="0"/>
                <w:color w:val="0F172A"/>
                <w:sz w:val="18"/>
              </w:rPr>
              <w:t>Unmapped surface, stale context or insufficient provider coverage</w:t>
            </w:r>
          </w:p>
        </w:tc>
        <w:tc>
          <w:tcPr>
            <w:tcW w:type="dxa" w:w="3810"/>
          </w:tcPr>
          <w:p>
            <w:pPr>
              <w:spacing w:after="0" w:line="252" w:lineRule="auto"/>
            </w:pPr>
            <w:r>
              <w:rPr>
                <w:rFonts w:ascii="Calibri" w:hAnsi="Calibri" w:eastAsia="Calibri"/>
                <w:b w:val="0"/>
                <w:color w:val="0F172A"/>
                <w:sz w:val="18"/>
              </w:rPr>
              <w:t>Fail closed, widen scope or require human acceptance</w:t>
            </w:r>
          </w:p>
        </w:tc>
      </w:tr>
    </w:tbl>
    <w:p>
      <w:pPr>
        <w:spacing w:before="0" w:after="40"/>
      </w:pPr>
    </w:p>
    <w:p>
      <w:pPr>
        <w:pStyle w:val="Heading2"/>
      </w:pPr>
      <w:r>
        <w:t>Minimum Impact Assessment contract</w:t>
      </w:r>
    </w:p>
    <w:p>
      <w:pPr>
        <w:spacing w:before="80" w:after="160" w:line="240" w:lineRule="auto"/>
        <w:ind w:left="259" w:right="259"/>
        <w:shd w:fill="F1F5F9"/>
        <w:pBdr>
          <w:left w:val="single" w:sz="12" w:space="6" w:color="475569"/>
        </w:pBdr>
      </w:pPr>
      <w:r>
        <w:rPr>
          <w:rFonts w:ascii="Consolas" w:hAnsi="Consolas" w:eastAsia="Consolas"/>
          <w:color w:val="0F172A"/>
          <w:sz w:val="16"/>
        </w:rPr>
        <w:t>ImpactAssessment</w:t>
        <w:br/>
        <w:t xml:space="preserve">  assessment_id, scope, change_set_id</w:t>
        <w:br/>
        <w:t xml:space="preserve">  snapshot_id, algorithm_version, policy_version</w:t>
        <w:br/>
        <w:t xml:space="preserve">  changed_entities[]</w:t>
        <w:br/>
        <w:t xml:space="preserve">  affected_entities[] { tier, risk, reasons[] }</w:t>
        <w:br/>
        <w:t xml:space="preserve">  explanation_paths[] { nodes, edges, provider, evidence_class, freshness }</w:t>
        <w:br/>
        <w:t xml:space="preserve">  test_obligations[] { target, rationale, coverage_requirement }</w:t>
        <w:br/>
        <w:t xml:space="preserve">  unknowns[] { surface, reason, prescribed_action }</w:t>
        <w:br/>
        <w:t xml:space="preserve">  quality_vector, residual_risk, generated_at</w:t>
      </w:r>
    </w:p>
    <w:p>
      <w:pPr>
        <w:keepLines/>
        <w:spacing w:before="100" w:after="200"/>
        <w:ind w:left="202" w:right="144"/>
        <w:shd w:fill="FFF7ED"/>
        <w:pBdr>
          <w:left w:val="single" w:sz="22" w:space="8" w:color="D97706"/>
        </w:pBdr>
      </w:pPr>
      <w:r>
        <w:rPr>
          <w:rFonts w:ascii="Calibri" w:hAnsi="Calibri" w:eastAsia="Calibri"/>
          <w:b/>
          <w:color w:val="D97706"/>
          <w:sz w:val="18"/>
        </w:rPr>
        <w:t xml:space="preserve">POLICY RULE  </w:t>
      </w:r>
      <w:r>
        <w:rPr>
          <w:rFonts w:ascii="Calibri" w:hAnsi="Calibri" w:eastAsia="Calibri"/>
          <w:b w:val="0"/>
          <w:color w:val="0F172A"/>
          <w:sz w:val="20"/>
        </w:rPr>
        <w:t>No empty result is silently treated as no impact. Every changed artifact must be mapped, declared irrelevant by policy or returned as an explicit unknown.</w:t>
      </w:r>
    </w:p>
    <w:p>
      <w:pPr>
        <w:sectPr>
          <w:headerReference w:type="default" r:id="rId29"/>
          <w:footerReference w:type="default" r:id="rId30"/>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5</w:t>
      </w:r>
    </w:p>
    <w:p>
      <w:pPr>
        <w:pStyle w:val="Heading1"/>
      </w:pPr>
      <w:r>
        <w:t>Risk-based quality, test data and evidence architecture</w:t>
      </w:r>
    </w:p>
    <w:p>
      <w:pPr>
        <w:keepLines w:val="0"/>
        <w:spacing w:after="140"/>
        <w:ind w:left="0" w:right="0" w:firstLine="0"/>
        <w:jc w:val="left"/>
      </w:pPr>
      <w:r>
        <w:rPr>
          <w:rFonts w:ascii="Calibri" w:hAnsi="Calibri" w:eastAsia="Calibri"/>
          <w:i w:val="0"/>
          <w:color w:val="0F172A"/>
          <w:sz w:val="19"/>
        </w:rPr>
        <w:t>Quality execution starts with the same Impact Assessment used by design and implementation. The assurance planner resolves existing tests, generates only genuine gaps and obtains data through a governed broker.</w:t>
      </w:r>
    </w:p>
    <w:p>
      <w:pPr>
        <w:keepLines/>
        <w:spacing w:before="40" w:after="40"/>
        <w:jc w:val="center"/>
      </w:pPr>
      <w:r>
        <w:drawing>
          <wp:inline xmlns:a="http://schemas.openxmlformats.org/drawingml/2006/main" xmlns:pic="http://schemas.openxmlformats.org/drawingml/2006/picture">
            <wp:extent cx="8796528" cy="994032"/>
            <wp:docPr id="5" name="Picture 5" descr="Architecture diagram: Risk-based quality, test data and evidence architecture. Impact-derived obligations drive test planning, scenario-scoped data leases, isolated execution and an immutable evidence bundle."/>
            <wp:cNvGraphicFramePr>
              <a:graphicFrameLocks noChangeAspect="1"/>
            </wp:cNvGraphicFramePr>
            <a:graphic>
              <a:graphicData uri="http://schemas.openxmlformats.org/drawingml/2006/picture">
                <pic:pic>
                  <pic:nvPicPr>
                    <pic:cNvPr id="0" name="05_quality_data.png"/>
                    <pic:cNvPicPr/>
                  </pic:nvPicPr>
                  <pic:blipFill>
                    <a:blip r:embed="rId33"/>
                    <a:stretch>
                      <a:fillRect/>
                    </a:stretch>
                  </pic:blipFill>
                  <pic:spPr>
                    <a:xfrm>
                      <a:off x="0" y="0"/>
                      <a:ext cx="8796528" cy="994032"/>
                    </a:xfrm>
                    <a:prstGeom prst="rect"/>
                  </pic:spPr>
                </pic:pic>
              </a:graphicData>
            </a:graphic>
          </wp:inline>
        </w:drawing>
      </w:r>
    </w:p>
    <w:p>
      <w:pPr>
        <w:pStyle w:val="Caption"/>
        <w:jc w:val="center"/>
      </w:pPr>
      <w:r>
        <w:t>Figure 5. Impact-derived obligations drive test planning, scenario-scoped data leases, isolated execution and an immutable evidence bundle.</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Test selection, test data and release evidence are one assurance chain. Setup and teardown are governed artifacts, not hidden test-script side effects.</w:t>
      </w:r>
    </w:p>
    <w:p>
      <w:pPr>
        <w:sectPr>
          <w:headerReference w:type="default" r:id="rId31"/>
          <w:footerReference w:type="default" r:id="rId32"/>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7 | QUALITY, TEST DATA AND EVIDENCE</w:t>
      </w:r>
    </w:p>
    <w:p>
      <w:pPr>
        <w:pStyle w:val="Heading1"/>
      </w:pPr>
      <w:r>
        <w:t>From impact to test obligation</w:t>
      </w:r>
    </w:p>
    <w:p>
      <w:pPr>
        <w:pStyle w:val="ListBullet"/>
        <w:spacing w:after="100"/>
      </w:pPr>
      <w:r>
        <w:rPr>
          <w:rFonts w:ascii="Calibri" w:hAnsi="Calibri" w:eastAsia="Calibri"/>
          <w:b/>
          <w:color w:val="0F172A"/>
        </w:rPr>
        <w:t>Select before generating.</w:t>
      </w:r>
      <w:r>
        <w:rPr>
          <w:rFonts w:ascii="Calibri" w:hAnsi="Calibri" w:eastAsia="Calibri"/>
          <w:color w:val="0F172A"/>
        </w:rPr>
        <w:t xml:space="preserve"> Resolve versioned tests with observed coverage and reliability before authoring new assets.</w:t>
      </w:r>
    </w:p>
    <w:p>
      <w:pPr>
        <w:pStyle w:val="ListBullet"/>
        <w:spacing w:after="100"/>
      </w:pPr>
      <w:r>
        <w:rPr>
          <w:rFonts w:ascii="Calibri" w:hAnsi="Calibri" w:eastAsia="Calibri"/>
          <w:b/>
          <w:color w:val="0F172A"/>
        </w:rPr>
        <w:t>Coverage is revision-bound.</w:t>
      </w:r>
      <w:r>
        <w:rPr>
          <w:rFonts w:ascii="Calibri" w:hAnsi="Calibri" w:eastAsia="Calibri"/>
          <w:color w:val="0F172A"/>
        </w:rPr>
        <w:t xml:space="preserve"> Distinguish declared coverage, static linkage and runtime-observed coverage.</w:t>
      </w:r>
    </w:p>
    <w:p>
      <w:pPr>
        <w:pStyle w:val="ListBullet"/>
        <w:spacing w:after="100"/>
      </w:pPr>
      <w:r>
        <w:rPr>
          <w:rFonts w:ascii="Calibri" w:hAnsi="Calibri" w:eastAsia="Calibri"/>
          <w:b/>
          <w:color w:val="0F172A"/>
        </w:rPr>
        <w:t>Every impacted entity has a disposition.</w:t>
      </w:r>
      <w:r>
        <w:rPr>
          <w:rFonts w:ascii="Calibri" w:hAnsi="Calibri" w:eastAsia="Calibri"/>
          <w:color w:val="0F172A"/>
        </w:rPr>
        <w:t xml:space="preserve"> Tested, inspected, monitored, accepted or explicitly unknown.</w:t>
      </w:r>
    </w:p>
    <w:p>
      <w:pPr>
        <w:pStyle w:val="ListBullet"/>
        <w:spacing w:after="100"/>
      </w:pPr>
      <w:r>
        <w:rPr>
          <w:rFonts w:ascii="Calibri" w:hAnsi="Calibri" w:eastAsia="Calibri"/>
          <w:b/>
          <w:color w:val="0F172A"/>
        </w:rPr>
        <w:t>Evidence is attached at the smallest defensible level.</w:t>
      </w:r>
      <w:r>
        <w:rPr>
          <w:rFonts w:ascii="Calibri" w:hAnsi="Calibri" w:eastAsia="Calibri"/>
          <w:color w:val="0F172A"/>
        </w:rPr>
        <w:t xml:space="preserve"> Scenario, script, test leaf, impacted entity, environment and execution attempt.</w:t>
      </w:r>
    </w:p>
    <w:p>
      <w:pPr>
        <w:pStyle w:val="ListBullet"/>
        <w:spacing w:after="100"/>
      </w:pPr>
      <w:r>
        <w:rPr>
          <w:rFonts w:ascii="Calibri" w:hAnsi="Calibri" w:eastAsia="Calibri"/>
          <w:b/>
          <w:color w:val="0F172A"/>
        </w:rPr>
        <w:t>A successful transport is not a passing gate.</w:t>
      </w:r>
      <w:r>
        <w:rPr>
          <w:rFonts w:ascii="Calibri" w:hAnsi="Calibri" w:eastAsia="Calibri"/>
          <w:color w:val="0F172A"/>
        </w:rPr>
        <w:t xml:space="preserve"> The deterministic QA decision is an explicit signed artifact.</w:t>
      </w:r>
    </w:p>
    <w:p>
      <w:pPr>
        <w:pStyle w:val="Heading2"/>
      </w:pPr>
      <w:r>
        <w:t>Test data as a governed lease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3600"/>
        <w:gridCol w:w="3860"/>
      </w:tblGrid>
      <w:tr>
        <w:trPr>
          <w:tblHeader w:val="true"/>
        </w:trPr>
        <w:tc>
          <w:tcPr>
            <w:tcW w:type="dxa" w:w="1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Strategy</w:t>
            </w:r>
          </w:p>
        </w:tc>
        <w:tc>
          <w:tcPr>
            <w:tcW w:type="dxa" w:w="36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Use when</w:t>
            </w:r>
          </w:p>
        </w:tc>
        <w:tc>
          <w:tcPr>
            <w:tcW w:type="dxa" w:w="38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Required controls</w:t>
            </w:r>
          </w:p>
        </w:tc>
      </w:tr>
      <w:tr>
        <w:tc>
          <w:tcPr>
            <w:tcW w:type="dxa" w:w="1900"/>
          </w:tcPr>
          <w:p>
            <w:pPr>
              <w:spacing w:after="0" w:line="252" w:lineRule="auto"/>
            </w:pPr>
            <w:r>
              <w:rPr>
                <w:rFonts w:ascii="Calibri" w:hAnsi="Calibri" w:eastAsia="Calibri"/>
                <w:b/>
                <w:color w:val="0F172A"/>
                <w:sz w:val="17"/>
              </w:rPr>
              <w:t>Synthetic generation</w:t>
            </w:r>
          </w:p>
        </w:tc>
        <w:tc>
          <w:tcPr>
            <w:tcW w:type="dxa" w:w="3600"/>
          </w:tcPr>
          <w:p>
            <w:pPr>
              <w:spacing w:after="0" w:line="252" w:lineRule="auto"/>
            </w:pPr>
            <w:r>
              <w:rPr>
                <w:rFonts w:ascii="Calibri" w:hAnsi="Calibri" w:eastAsia="Calibri"/>
                <w:b w:val="0"/>
                <w:color w:val="0F172A"/>
                <w:sz w:val="17"/>
              </w:rPr>
              <w:t>Default for common functional paths and privacy-sensitive domains</w:t>
            </w:r>
          </w:p>
        </w:tc>
        <w:tc>
          <w:tcPr>
            <w:tcW w:type="dxa" w:w="3860"/>
          </w:tcPr>
          <w:p>
            <w:pPr>
              <w:spacing w:after="0" w:line="252" w:lineRule="auto"/>
            </w:pPr>
            <w:r>
              <w:rPr>
                <w:rFonts w:ascii="Calibri" w:hAnsi="Calibri" w:eastAsia="Calibri"/>
                <w:b w:val="0"/>
                <w:color w:val="0F172A"/>
                <w:sz w:val="17"/>
              </w:rPr>
              <w:t>Schema-valid, scenario-specific, reproducible seed</w:t>
            </w:r>
          </w:p>
        </w:tc>
      </w:tr>
      <w:tr>
        <w:tc>
          <w:tcPr>
            <w:tcW w:type="dxa" w:w="1900"/>
            <w:shd w:fill="F8FAFC"/>
          </w:tcPr>
          <w:p>
            <w:pPr>
              <w:spacing w:after="0" w:line="252" w:lineRule="auto"/>
            </w:pPr>
            <w:r>
              <w:rPr>
                <w:rFonts w:ascii="Calibri" w:hAnsi="Calibri" w:eastAsia="Calibri"/>
                <w:b/>
                <w:color w:val="0F172A"/>
                <w:sz w:val="17"/>
              </w:rPr>
              <w:t>Masked subset</w:t>
            </w:r>
          </w:p>
        </w:tc>
        <w:tc>
          <w:tcPr>
            <w:tcW w:type="dxa" w:w="3600"/>
            <w:shd w:fill="F8FAFC"/>
          </w:tcPr>
          <w:p>
            <w:pPr>
              <w:spacing w:after="0" w:line="252" w:lineRule="auto"/>
            </w:pPr>
            <w:r>
              <w:rPr>
                <w:rFonts w:ascii="Calibri" w:hAnsi="Calibri" w:eastAsia="Calibri"/>
                <w:b w:val="0"/>
                <w:color w:val="0F172A"/>
                <w:sz w:val="17"/>
              </w:rPr>
              <w:t>Complex production-like relationships where synthetic fidelity is insufficient</w:t>
            </w:r>
          </w:p>
        </w:tc>
        <w:tc>
          <w:tcPr>
            <w:tcW w:type="dxa" w:w="3860"/>
            <w:shd w:fill="F8FAFC"/>
          </w:tcPr>
          <w:p>
            <w:pPr>
              <w:spacing w:after="0" w:line="252" w:lineRule="auto"/>
            </w:pPr>
            <w:r>
              <w:rPr>
                <w:rFonts w:ascii="Calibri" w:hAnsi="Calibri" w:eastAsia="Calibri"/>
                <w:b w:val="0"/>
                <w:color w:val="0F172A"/>
                <w:sz w:val="17"/>
              </w:rPr>
              <w:t>Approved extraction, tokenization, minimization and expiry</w:t>
            </w:r>
          </w:p>
        </w:tc>
      </w:tr>
      <w:tr>
        <w:tc>
          <w:tcPr>
            <w:tcW w:type="dxa" w:w="1900"/>
          </w:tcPr>
          <w:p>
            <w:pPr>
              <w:spacing w:after="0" w:line="252" w:lineRule="auto"/>
            </w:pPr>
            <w:r>
              <w:rPr>
                <w:rFonts w:ascii="Calibri" w:hAnsi="Calibri" w:eastAsia="Calibri"/>
                <w:b/>
                <w:color w:val="0F172A"/>
                <w:sz w:val="17"/>
              </w:rPr>
              <w:t>Virtualized dependency</w:t>
            </w:r>
          </w:p>
        </w:tc>
        <w:tc>
          <w:tcPr>
            <w:tcW w:type="dxa" w:w="3600"/>
          </w:tcPr>
          <w:p>
            <w:pPr>
              <w:spacing w:after="0" w:line="252" w:lineRule="auto"/>
            </w:pPr>
            <w:r>
              <w:rPr>
                <w:rFonts w:ascii="Calibri" w:hAnsi="Calibri" w:eastAsia="Calibri"/>
                <w:b w:val="0"/>
                <w:color w:val="0F172A"/>
                <w:sz w:val="17"/>
              </w:rPr>
              <w:t>Unavailable, costly or destructive downstream systems</w:t>
            </w:r>
          </w:p>
        </w:tc>
        <w:tc>
          <w:tcPr>
            <w:tcW w:type="dxa" w:w="3860"/>
          </w:tcPr>
          <w:p>
            <w:pPr>
              <w:spacing w:after="0" w:line="252" w:lineRule="auto"/>
            </w:pPr>
            <w:r>
              <w:rPr>
                <w:rFonts w:ascii="Calibri" w:hAnsi="Calibri" w:eastAsia="Calibri"/>
                <w:b w:val="0"/>
                <w:color w:val="0F172A"/>
                <w:sz w:val="17"/>
              </w:rPr>
              <w:t>Contract-versioned behavior and recorded simulation profile</w:t>
            </w:r>
          </w:p>
        </w:tc>
      </w:tr>
      <w:tr>
        <w:tc>
          <w:tcPr>
            <w:tcW w:type="dxa" w:w="1900"/>
            <w:shd w:fill="F8FAFC"/>
          </w:tcPr>
          <w:p>
            <w:pPr>
              <w:spacing w:after="0" w:line="252" w:lineRule="auto"/>
            </w:pPr>
            <w:r>
              <w:rPr>
                <w:rFonts w:ascii="Calibri" w:hAnsi="Calibri" w:eastAsia="Calibri"/>
                <w:b/>
                <w:color w:val="0F172A"/>
                <w:sz w:val="17"/>
              </w:rPr>
              <w:t>Ephemeral environment</w:t>
            </w:r>
          </w:p>
        </w:tc>
        <w:tc>
          <w:tcPr>
            <w:tcW w:type="dxa" w:w="3600"/>
            <w:shd w:fill="F8FAFC"/>
          </w:tcPr>
          <w:p>
            <w:pPr>
              <w:spacing w:after="0" w:line="252" w:lineRule="auto"/>
            </w:pPr>
            <w:r>
              <w:rPr>
                <w:rFonts w:ascii="Calibri" w:hAnsi="Calibri" w:eastAsia="Calibri"/>
                <w:b w:val="0"/>
                <w:color w:val="0F172A"/>
                <w:sz w:val="17"/>
              </w:rPr>
              <w:t>Stateful integration and destructive workflow testing</w:t>
            </w:r>
          </w:p>
        </w:tc>
        <w:tc>
          <w:tcPr>
            <w:tcW w:type="dxa" w:w="3860"/>
            <w:shd w:fill="F8FAFC"/>
          </w:tcPr>
          <w:p>
            <w:pPr>
              <w:spacing w:after="0" w:line="252" w:lineRule="auto"/>
            </w:pPr>
            <w:r>
              <w:rPr>
                <w:rFonts w:ascii="Calibri" w:hAnsi="Calibri" w:eastAsia="Calibri"/>
                <w:b w:val="0"/>
                <w:color w:val="0F172A"/>
                <w:sz w:val="17"/>
              </w:rPr>
              <w:t>Isolated namespace, infrastructure lease and teardown proof</w:t>
            </w:r>
          </w:p>
        </w:tc>
      </w:tr>
      <w:tr>
        <w:tc>
          <w:tcPr>
            <w:tcW w:type="dxa" w:w="1900"/>
          </w:tcPr>
          <w:p>
            <w:pPr>
              <w:spacing w:after="0" w:line="252" w:lineRule="auto"/>
            </w:pPr>
            <w:r>
              <w:rPr>
                <w:rFonts w:ascii="Calibri" w:hAnsi="Calibri" w:eastAsia="Calibri"/>
                <w:b/>
                <w:color w:val="0F172A"/>
                <w:sz w:val="17"/>
              </w:rPr>
              <w:t>Reference fixture</w:t>
            </w:r>
          </w:p>
        </w:tc>
        <w:tc>
          <w:tcPr>
            <w:tcW w:type="dxa" w:w="3600"/>
          </w:tcPr>
          <w:p>
            <w:pPr>
              <w:spacing w:after="0" w:line="252" w:lineRule="auto"/>
            </w:pPr>
            <w:r>
              <w:rPr>
                <w:rFonts w:ascii="Calibri" w:hAnsi="Calibri" w:eastAsia="Calibri"/>
                <w:b w:val="0"/>
                <w:color w:val="0F172A"/>
                <w:sz w:val="17"/>
              </w:rPr>
              <w:t>Stable deterministic unit/component cases</w:t>
            </w:r>
          </w:p>
        </w:tc>
        <w:tc>
          <w:tcPr>
            <w:tcW w:type="dxa" w:w="3860"/>
          </w:tcPr>
          <w:p>
            <w:pPr>
              <w:spacing w:after="0" w:line="252" w:lineRule="auto"/>
            </w:pPr>
            <w:r>
              <w:rPr>
                <w:rFonts w:ascii="Calibri" w:hAnsi="Calibri" w:eastAsia="Calibri"/>
                <w:b w:val="0"/>
                <w:color w:val="0F172A"/>
                <w:sz w:val="17"/>
              </w:rPr>
              <w:t>Versioned content hash and ownership</w:t>
            </w:r>
          </w:p>
        </w:tc>
      </w:tr>
    </w:tbl>
    <w:p>
      <w:pPr>
        <w:spacing w:before="0" w:after="40"/>
      </w:pPr>
    </w:p>
    <w:p>
      <w:pPr>
        <w:pStyle w:val="Heading2"/>
      </w:pPr>
      <w:r>
        <w:t>Setup and teardown protocol</w:t>
      </w:r>
    </w:p>
    <w:p>
      <w:pPr>
        <w:pStyle w:val="ListNumber"/>
        <w:spacing w:after="100"/>
        <w:numPr>
          <w:ilvl w:val="0"/>
          <w:numId w:val="12"/>
        </w:numPr>
      </w:pPr>
      <w:r>
        <w:rPr>
          <w:rFonts w:ascii="Calibri" w:hAnsi="Calibri" w:eastAsia="Calibri"/>
          <w:color w:val="0F172A"/>
        </w:rPr>
        <w:t>The planner emits a DataRequirement with entities, privacy class, volume, isolation and lifetime.</w:t>
      </w:r>
    </w:p>
    <w:p>
      <w:pPr>
        <w:pStyle w:val="ListNumber"/>
        <w:spacing w:after="100"/>
        <w:numPr>
          <w:ilvl w:val="0"/>
          <w:numId w:val="12"/>
        </w:numPr>
      </w:pPr>
      <w:r>
        <w:rPr>
          <w:rFonts w:ascii="Calibri" w:hAnsi="Calibri" w:eastAsia="Calibri"/>
          <w:color w:val="0F172A"/>
        </w:rPr>
        <w:t>The broker selects an authorized provider and returns an idempotent DataLease bound to the execution attempt.</w:t>
      </w:r>
    </w:p>
    <w:p>
      <w:pPr>
        <w:pStyle w:val="ListNumber"/>
        <w:spacing w:after="100"/>
        <w:numPr>
          <w:ilvl w:val="0"/>
          <w:numId w:val="12"/>
        </w:numPr>
      </w:pPr>
      <w:r>
        <w:rPr>
          <w:rFonts w:ascii="Calibri" w:hAnsi="Calibri" w:eastAsia="Calibri"/>
          <w:color w:val="0F172A"/>
        </w:rPr>
        <w:t>The runner verifies lease readiness and records the data version before executing tests.</w:t>
      </w:r>
    </w:p>
    <w:p>
      <w:pPr>
        <w:pStyle w:val="ListNumber"/>
        <w:spacing w:after="100"/>
        <w:numPr>
          <w:ilvl w:val="0"/>
          <w:numId w:val="12"/>
        </w:numPr>
      </w:pPr>
      <w:r>
        <w:rPr>
          <w:rFonts w:ascii="Calibri" w:hAnsi="Calibri" w:eastAsia="Calibri"/>
          <w:color w:val="0F172A"/>
        </w:rPr>
        <w:t>Teardown is invoked regardless of test outcome; TTL and compensating cleanup cover runner failure.</w:t>
      </w:r>
    </w:p>
    <w:p>
      <w:pPr>
        <w:pStyle w:val="ListNumber"/>
        <w:spacing w:after="100"/>
        <w:numPr>
          <w:ilvl w:val="0"/>
          <w:numId w:val="12"/>
        </w:numPr>
      </w:pPr>
      <w:r>
        <w:rPr>
          <w:rFonts w:ascii="Calibri" w:hAnsi="Calibri" w:eastAsia="Calibri"/>
          <w:color w:val="0F172A"/>
        </w:rPr>
        <w:t>The broker emits teardown attestation. Missing cleanup proof is a policy-visible assurance gap.</w:t>
      </w:r>
    </w:p>
    <w:p>
      <w:pPr>
        <w:sectPr>
          <w:headerReference w:type="default" r:id="rId34"/>
          <w:footerReference w:type="default" r:id="rId35"/>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6</w:t>
      </w:r>
    </w:p>
    <w:p>
      <w:pPr>
        <w:pStyle w:val="Heading1"/>
      </w:pPr>
      <w:r>
        <w:t>Behavioral BYO plugin architecture</w:t>
      </w:r>
    </w:p>
    <w:p>
      <w:pPr>
        <w:keepLines w:val="0"/>
        <w:spacing w:after="140"/>
        <w:ind w:left="0" w:right="0" w:firstLine="0"/>
        <w:jc w:val="left"/>
      </w:pPr>
      <w:r>
        <w:rPr>
          <w:rFonts w:ascii="Calibri" w:hAnsi="Calibri" w:eastAsia="Calibri"/>
          <w:i w:val="0"/>
          <w:color w:val="0F172A"/>
          <w:sz w:val="19"/>
        </w:rPr>
        <w:t>Pluggability is governed at activation time. Providers declare capabilities, permissions, versions, quality and operational behavior and must pass the framework conformance suite.</w:t>
      </w:r>
    </w:p>
    <w:p>
      <w:pPr>
        <w:keepLines/>
        <w:spacing w:before="40" w:after="40"/>
        <w:jc w:val="center"/>
      </w:pPr>
      <w:r>
        <w:drawing>
          <wp:inline xmlns:a="http://schemas.openxmlformats.org/drawingml/2006/main" xmlns:pic="http://schemas.openxmlformats.org/drawingml/2006/picture">
            <wp:extent cx="8796528" cy="1633002"/>
            <wp:docPr id="6" name="Picture 6" descr="Architecture diagram: Behavioral BYO plugin architecture. Client systems and execution targets integrate through versioned inbound and outbound ports around a non-bypassable framework kernel."/>
            <wp:cNvGraphicFramePr>
              <a:graphicFrameLocks noChangeAspect="1"/>
            </wp:cNvGraphicFramePr>
            <a:graphic>
              <a:graphicData uri="http://schemas.openxmlformats.org/drawingml/2006/picture">
                <pic:pic>
                  <pic:nvPicPr>
                    <pic:cNvPr id="0" name="06_plugin_architecture.png"/>
                    <pic:cNvPicPr/>
                  </pic:nvPicPr>
                  <pic:blipFill>
                    <a:blip r:embed="rId38"/>
                    <a:stretch>
                      <a:fillRect/>
                    </a:stretch>
                  </pic:blipFill>
                  <pic:spPr>
                    <a:xfrm>
                      <a:off x="0" y="0"/>
                      <a:ext cx="8796528" cy="1633002"/>
                    </a:xfrm>
                    <a:prstGeom prst="rect"/>
                  </pic:spPr>
                </pic:pic>
              </a:graphicData>
            </a:graphic>
          </wp:inline>
        </w:drawing>
      </w:r>
    </w:p>
    <w:p>
      <w:pPr>
        <w:pStyle w:val="Caption"/>
        <w:jc w:val="center"/>
      </w:pPr>
      <w:r>
        <w:t>Figure 6. Client systems and execution targets integrate through versioned inbound and outbound ports around a non-bypassable framework kernel.</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Clients bring implementations, not forks. Identity, state, evidence, policy and audit semantics remain stable regardless of provider choice.</w:t>
      </w:r>
    </w:p>
    <w:p>
      <w:pPr>
        <w:sectPr>
          <w:headerReference w:type="default" r:id="rId36"/>
          <w:footerReference w:type="default" r:id="rId37"/>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8 | BYO AND ECOSYSTEM ARCHITECTURE</w:t>
      </w:r>
    </w:p>
    <w:p>
      <w:pPr>
        <w:pStyle w:val="Heading1"/>
      </w:pPr>
      <w:r>
        <w:t>Provider categories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4200"/>
        <w:gridCol w:w="3260"/>
      </w:tblGrid>
      <w:tr>
        <w:trPr>
          <w:tblHeader w:val="true"/>
        </w:trPr>
        <w:tc>
          <w:tcPr>
            <w:tcW w:type="dxa" w:w="1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Provider family</w:t>
            </w:r>
          </w:p>
        </w:tc>
        <w:tc>
          <w:tcPr>
            <w:tcW w:type="dxa" w:w="4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Examples</w:t>
            </w:r>
          </w:p>
        </w:tc>
        <w:tc>
          <w:tcPr>
            <w:tcW w:type="dxa" w:w="32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Framework output</w:t>
            </w:r>
          </w:p>
        </w:tc>
      </w:tr>
      <w:tr>
        <w:tc>
          <w:tcPr>
            <w:tcW w:type="dxa" w:w="1900"/>
          </w:tcPr>
          <w:p>
            <w:pPr>
              <w:spacing w:after="0" w:line="252" w:lineRule="auto"/>
            </w:pPr>
            <w:r>
              <w:rPr>
                <w:rFonts w:ascii="Calibri" w:hAnsi="Calibri" w:eastAsia="Calibri"/>
                <w:b/>
                <w:color w:val="0F172A"/>
                <w:sz w:val="17"/>
              </w:rPr>
              <w:t>Context acquisition</w:t>
            </w:r>
          </w:p>
        </w:tc>
        <w:tc>
          <w:tcPr>
            <w:tcW w:type="dxa" w:w="4200"/>
          </w:tcPr>
          <w:p>
            <w:pPr>
              <w:spacing w:after="0" w:line="252" w:lineRule="auto"/>
            </w:pPr>
            <w:r>
              <w:rPr>
                <w:rFonts w:ascii="Calibri" w:hAnsi="Calibri" w:eastAsia="Calibri"/>
                <w:b w:val="0"/>
                <w:color w:val="0F172A"/>
                <w:sz w:val="17"/>
              </w:rPr>
              <w:t>Requirements, SCM, architecture catalogs, CMDB, documents, events</w:t>
            </w:r>
          </w:p>
        </w:tc>
        <w:tc>
          <w:tcPr>
            <w:tcW w:type="dxa" w:w="3260"/>
          </w:tcPr>
          <w:p>
            <w:pPr>
              <w:spacing w:after="0" w:line="252" w:lineRule="auto"/>
            </w:pPr>
            <w:r>
              <w:rPr>
                <w:rFonts w:ascii="Calibri" w:hAnsi="Calibri" w:eastAsia="Calibri"/>
                <w:b w:val="0"/>
                <w:color w:val="0F172A"/>
                <w:sz w:val="17"/>
              </w:rPr>
              <w:t>Canonical assertions and source references</w:t>
            </w:r>
          </w:p>
        </w:tc>
      </w:tr>
      <w:tr>
        <w:tc>
          <w:tcPr>
            <w:tcW w:type="dxa" w:w="1900"/>
            <w:shd w:fill="F8FAFC"/>
          </w:tcPr>
          <w:p>
            <w:pPr>
              <w:spacing w:after="0" w:line="252" w:lineRule="auto"/>
            </w:pPr>
            <w:r>
              <w:rPr>
                <w:rFonts w:ascii="Calibri" w:hAnsi="Calibri" w:eastAsia="Calibri"/>
                <w:b/>
                <w:color w:val="0F172A"/>
                <w:sz w:val="17"/>
              </w:rPr>
              <w:t>Relationship intelligence</w:t>
            </w:r>
          </w:p>
        </w:tc>
        <w:tc>
          <w:tcPr>
            <w:tcW w:type="dxa" w:w="4200"/>
            <w:shd w:fill="F8FAFC"/>
          </w:tcPr>
          <w:p>
            <w:pPr>
              <w:spacing w:after="0" w:line="252" w:lineRule="auto"/>
            </w:pPr>
            <w:r>
              <w:rPr>
                <w:rFonts w:ascii="Calibri" w:hAnsi="Calibri" w:eastAsia="Calibri"/>
                <w:b w:val="0"/>
                <w:color w:val="0F172A"/>
                <w:sz w:val="17"/>
              </w:rPr>
              <w:t>Language analyzers, build graphs, API/schema/event parsers, runtime topology</w:t>
            </w:r>
          </w:p>
        </w:tc>
        <w:tc>
          <w:tcPr>
            <w:tcW w:type="dxa" w:w="3260"/>
            <w:shd w:fill="F8FAFC"/>
          </w:tcPr>
          <w:p>
            <w:pPr>
              <w:spacing w:after="0" w:line="252" w:lineRule="auto"/>
            </w:pPr>
            <w:r>
              <w:rPr>
                <w:rFonts w:ascii="Calibri" w:hAnsi="Calibri" w:eastAsia="Calibri"/>
                <w:b w:val="0"/>
                <w:color w:val="0F172A"/>
                <w:sz w:val="17"/>
              </w:rPr>
              <w:t>Typed relationships plus propagation semantics</w:t>
            </w:r>
          </w:p>
        </w:tc>
      </w:tr>
      <w:tr>
        <w:tc>
          <w:tcPr>
            <w:tcW w:type="dxa" w:w="1900"/>
          </w:tcPr>
          <w:p>
            <w:pPr>
              <w:spacing w:after="0" w:line="252" w:lineRule="auto"/>
            </w:pPr>
            <w:r>
              <w:rPr>
                <w:rFonts w:ascii="Calibri" w:hAnsi="Calibri" w:eastAsia="Calibri"/>
                <w:b/>
                <w:color w:val="0F172A"/>
                <w:sz w:val="17"/>
              </w:rPr>
              <w:t>Agent capability</w:t>
            </w:r>
          </w:p>
        </w:tc>
        <w:tc>
          <w:tcPr>
            <w:tcW w:type="dxa" w:w="4200"/>
          </w:tcPr>
          <w:p>
            <w:pPr>
              <w:spacing w:after="0" w:line="252" w:lineRule="auto"/>
            </w:pPr>
            <w:r>
              <w:rPr>
                <w:rFonts w:ascii="Calibri" w:hAnsi="Calibri" w:eastAsia="Calibri"/>
                <w:b w:val="0"/>
                <w:color w:val="0F172A"/>
                <w:sz w:val="17"/>
              </w:rPr>
              <w:t>Requirement, design, coding, test, security and operations agents</w:t>
            </w:r>
          </w:p>
        </w:tc>
        <w:tc>
          <w:tcPr>
            <w:tcW w:type="dxa" w:w="3260"/>
          </w:tcPr>
          <w:p>
            <w:pPr>
              <w:spacing w:after="0" w:line="252" w:lineRule="auto"/>
            </w:pPr>
            <w:r>
              <w:rPr>
                <w:rFonts w:ascii="Calibri" w:hAnsi="Calibri" w:eastAsia="Calibri"/>
                <w:b w:val="0"/>
                <w:color w:val="0F172A"/>
                <w:sz w:val="17"/>
              </w:rPr>
              <w:t>Typed work order and signed outcome</w:t>
            </w:r>
          </w:p>
        </w:tc>
      </w:tr>
      <w:tr>
        <w:tc>
          <w:tcPr>
            <w:tcW w:type="dxa" w:w="1900"/>
            <w:shd w:fill="F8FAFC"/>
          </w:tcPr>
          <w:p>
            <w:pPr>
              <w:spacing w:after="0" w:line="252" w:lineRule="auto"/>
            </w:pPr>
            <w:r>
              <w:rPr>
                <w:rFonts w:ascii="Calibri" w:hAnsi="Calibri" w:eastAsia="Calibri"/>
                <w:b/>
                <w:color w:val="0F172A"/>
                <w:sz w:val="17"/>
              </w:rPr>
              <w:t>Assurance execution</w:t>
            </w:r>
          </w:p>
        </w:tc>
        <w:tc>
          <w:tcPr>
            <w:tcW w:type="dxa" w:w="4200"/>
            <w:shd w:fill="F8FAFC"/>
          </w:tcPr>
          <w:p>
            <w:pPr>
              <w:spacing w:after="0" w:line="252" w:lineRule="auto"/>
            </w:pPr>
            <w:r>
              <w:rPr>
                <w:rFonts w:ascii="Calibri" w:hAnsi="Calibri" w:eastAsia="Calibri"/>
                <w:b w:val="0"/>
                <w:color w:val="0F172A"/>
                <w:sz w:val="17"/>
              </w:rPr>
              <w:t>Test frameworks, environments, data providers, scanners</w:t>
            </w:r>
          </w:p>
        </w:tc>
        <w:tc>
          <w:tcPr>
            <w:tcW w:type="dxa" w:w="3260"/>
            <w:shd w:fill="F8FAFC"/>
          </w:tcPr>
          <w:p>
            <w:pPr>
              <w:spacing w:after="0" w:line="252" w:lineRule="auto"/>
            </w:pPr>
            <w:r>
              <w:rPr>
                <w:rFonts w:ascii="Calibri" w:hAnsi="Calibri" w:eastAsia="Calibri"/>
                <w:b w:val="0"/>
                <w:color w:val="0F172A"/>
                <w:sz w:val="17"/>
              </w:rPr>
              <w:t>Execution evidence and cleanup attestation</w:t>
            </w:r>
          </w:p>
        </w:tc>
      </w:tr>
      <w:tr>
        <w:tc>
          <w:tcPr>
            <w:tcW w:type="dxa" w:w="1900"/>
          </w:tcPr>
          <w:p>
            <w:pPr>
              <w:spacing w:after="0" w:line="252" w:lineRule="auto"/>
            </w:pPr>
            <w:r>
              <w:rPr>
                <w:rFonts w:ascii="Calibri" w:hAnsi="Calibri" w:eastAsia="Calibri"/>
                <w:b/>
                <w:color w:val="0F172A"/>
                <w:sz w:val="17"/>
              </w:rPr>
              <w:t>Delivery execution</w:t>
            </w:r>
          </w:p>
        </w:tc>
        <w:tc>
          <w:tcPr>
            <w:tcW w:type="dxa" w:w="4200"/>
          </w:tcPr>
          <w:p>
            <w:pPr>
              <w:spacing w:after="0" w:line="252" w:lineRule="auto"/>
            </w:pPr>
            <w:r>
              <w:rPr>
                <w:rFonts w:ascii="Calibri" w:hAnsi="Calibri" w:eastAsia="Calibri"/>
                <w:b w:val="0"/>
                <w:color w:val="0F172A"/>
                <w:sz w:val="17"/>
              </w:rPr>
              <w:t>Work dispatch, build, artifact, deployment and rollback platforms</w:t>
            </w:r>
          </w:p>
        </w:tc>
        <w:tc>
          <w:tcPr>
            <w:tcW w:type="dxa" w:w="3260"/>
          </w:tcPr>
          <w:p>
            <w:pPr>
              <w:spacing w:after="0" w:line="252" w:lineRule="auto"/>
            </w:pPr>
            <w:r>
              <w:rPr>
                <w:rFonts w:ascii="Calibri" w:hAnsi="Calibri" w:eastAsia="Calibri"/>
                <w:b w:val="0"/>
                <w:color w:val="0F172A"/>
                <w:sz w:val="17"/>
              </w:rPr>
              <w:t>Attested artifact and deployment observation</w:t>
            </w:r>
          </w:p>
        </w:tc>
      </w:tr>
      <w:tr>
        <w:tc>
          <w:tcPr>
            <w:tcW w:type="dxa" w:w="1900"/>
            <w:shd w:fill="F8FAFC"/>
          </w:tcPr>
          <w:p>
            <w:pPr>
              <w:spacing w:after="0" w:line="252" w:lineRule="auto"/>
            </w:pPr>
            <w:r>
              <w:rPr>
                <w:rFonts w:ascii="Calibri" w:hAnsi="Calibri" w:eastAsia="Calibri"/>
                <w:b/>
                <w:color w:val="0F172A"/>
                <w:sz w:val="17"/>
              </w:rPr>
              <w:t>Storage and retrieval</w:t>
            </w:r>
          </w:p>
        </w:tc>
        <w:tc>
          <w:tcPr>
            <w:tcW w:type="dxa" w:w="4200"/>
            <w:shd w:fill="F8FAFC"/>
          </w:tcPr>
          <w:p>
            <w:pPr>
              <w:spacing w:after="0" w:line="252" w:lineRule="auto"/>
            </w:pPr>
            <w:r>
              <w:rPr>
                <w:rFonts w:ascii="Calibri" w:hAnsi="Calibri" w:eastAsia="Calibri"/>
                <w:b w:val="0"/>
                <w:color w:val="0F172A"/>
                <w:sz w:val="17"/>
              </w:rPr>
              <w:t>Graph, ledger, object, search, vector and analytics implementations</w:t>
            </w:r>
          </w:p>
        </w:tc>
        <w:tc>
          <w:tcPr>
            <w:tcW w:type="dxa" w:w="3260"/>
            <w:shd w:fill="F8FAFC"/>
          </w:tcPr>
          <w:p>
            <w:pPr>
              <w:spacing w:after="0" w:line="252" w:lineRule="auto"/>
            </w:pPr>
            <w:r>
              <w:rPr>
                <w:rFonts w:ascii="Calibri" w:hAnsi="Calibri" w:eastAsia="Calibri"/>
                <w:b w:val="0"/>
                <w:color w:val="0F172A"/>
                <w:sz w:val="17"/>
              </w:rPr>
              <w:t>Versioned storage/query contracts</w:t>
            </w:r>
          </w:p>
        </w:tc>
      </w:tr>
      <w:tr>
        <w:tc>
          <w:tcPr>
            <w:tcW w:type="dxa" w:w="1900"/>
          </w:tcPr>
          <w:p>
            <w:pPr>
              <w:spacing w:after="0" w:line="252" w:lineRule="auto"/>
            </w:pPr>
            <w:r>
              <w:rPr>
                <w:rFonts w:ascii="Calibri" w:hAnsi="Calibri" w:eastAsia="Calibri"/>
                <w:b/>
                <w:color w:val="0F172A"/>
                <w:sz w:val="17"/>
              </w:rPr>
              <w:t>Policy and governance</w:t>
            </w:r>
          </w:p>
        </w:tc>
        <w:tc>
          <w:tcPr>
            <w:tcW w:type="dxa" w:w="4200"/>
          </w:tcPr>
          <w:p>
            <w:pPr>
              <w:spacing w:after="0" w:line="252" w:lineRule="auto"/>
            </w:pPr>
            <w:r>
              <w:rPr>
                <w:rFonts w:ascii="Calibri" w:hAnsi="Calibri" w:eastAsia="Calibri"/>
                <w:b w:val="0"/>
                <w:color w:val="0F172A"/>
                <w:sz w:val="17"/>
              </w:rPr>
              <w:t>Client policy packs, control catalogs, approval and audit sinks</w:t>
            </w:r>
          </w:p>
        </w:tc>
        <w:tc>
          <w:tcPr>
            <w:tcW w:type="dxa" w:w="3260"/>
          </w:tcPr>
          <w:p>
            <w:pPr>
              <w:spacing w:after="0" w:line="252" w:lineRule="auto"/>
            </w:pPr>
            <w:r>
              <w:rPr>
                <w:rFonts w:ascii="Calibri" w:hAnsi="Calibri" w:eastAsia="Calibri"/>
                <w:b w:val="0"/>
                <w:color w:val="0F172A"/>
                <w:sz w:val="17"/>
              </w:rPr>
              <w:t>Deterministic decision extensions</w:t>
            </w:r>
          </w:p>
        </w:tc>
      </w:tr>
    </w:tbl>
    <w:p>
      <w:pPr>
        <w:spacing w:before="0" w:after="40"/>
      </w:pPr>
    </w:p>
    <w:p>
      <w:pPr>
        <w:pStyle w:val="Heading2"/>
      </w:pPr>
      <w:r>
        <w:t>Capability manifest</w:t>
      </w:r>
    </w:p>
    <w:p>
      <w:pPr>
        <w:spacing w:before="80" w:after="160" w:line="240" w:lineRule="auto"/>
        <w:ind w:left="259" w:right="259"/>
        <w:shd w:fill="F1F5F9"/>
        <w:pBdr>
          <w:left w:val="single" w:sz="12" w:space="6" w:color="475569"/>
        </w:pBdr>
      </w:pPr>
      <w:r>
        <w:rPr>
          <w:rFonts w:ascii="Consolas" w:hAnsi="Consolas" w:eastAsia="Consolas"/>
          <w:color w:val="0F172A"/>
          <w:sz w:val="16"/>
        </w:rPr>
        <w:t>ProviderManifest</w:t>
        <w:br/>
        <w:t xml:space="preserve">  provider_id, version, contract_versions[]</w:t>
        <w:br/>
        <w:t xml:space="preserve">  capabilities[] { entities, relationships, commands }</w:t>
        <w:br/>
        <w:t xml:space="preserve">  supported_stacks[]</w:t>
        <w:br/>
        <w:t xml:space="preserve">  relationship_semantics[] { direction, triggers, confidence, obligations }</w:t>
        <w:br/>
        <w:t xml:space="preserve">  data_classes[], permissions[], secret_references[]</w:t>
        <w:br/>
        <w:t xml:space="preserve">  execution_model, locality, health_contract</w:t>
        <w:br/>
        <w:t xml:space="preserve">  incremental_support, idempotency, error_taxonomy</w:t>
        <w:br/>
        <w:t xml:space="preserve">  telemetry_contract, quality_metrics, rollback_version</w:t>
      </w:r>
    </w:p>
    <w:p>
      <w:pPr>
        <w:pStyle w:val="Heading2"/>
      </w:pPr>
      <w:r>
        <w:t>Provider activation lifecycle</w:t>
      </w:r>
    </w:p>
    <w:p>
      <w:pPr>
        <w:pStyle w:val="ListNumber"/>
        <w:spacing w:after="100"/>
        <w:numPr>
          <w:ilvl w:val="0"/>
          <w:numId w:val="13"/>
        </w:numPr>
      </w:pPr>
      <w:r>
        <w:rPr>
          <w:rFonts w:ascii="Calibri" w:hAnsi="Calibri" w:eastAsia="Calibri"/>
          <w:color w:val="0F172A"/>
        </w:rPr>
        <w:t>Discover and validate the signed provider manifest.</w:t>
      </w:r>
    </w:p>
    <w:p>
      <w:pPr>
        <w:pStyle w:val="ListNumber"/>
        <w:spacing w:after="100"/>
        <w:numPr>
          <w:ilvl w:val="0"/>
          <w:numId w:val="13"/>
        </w:numPr>
      </w:pPr>
      <w:r>
        <w:rPr>
          <w:rFonts w:ascii="Calibri" w:hAnsi="Calibri" w:eastAsia="Calibri"/>
          <w:color w:val="0F172A"/>
        </w:rPr>
        <w:t>Resolve configuration and secrets by reference; never persist raw credentials in plugin configuration.</w:t>
      </w:r>
    </w:p>
    <w:p>
      <w:pPr>
        <w:pStyle w:val="ListNumber"/>
        <w:spacing w:after="100"/>
        <w:numPr>
          <w:ilvl w:val="0"/>
          <w:numId w:val="13"/>
        </w:numPr>
      </w:pPr>
      <w:r>
        <w:rPr>
          <w:rFonts w:ascii="Calibri" w:hAnsi="Calibri" w:eastAsia="Calibri"/>
          <w:color w:val="0F172A"/>
        </w:rPr>
        <w:t>Run contract, security, tenancy, replay, idempotency and failure-mode conformance tests.</w:t>
      </w:r>
    </w:p>
    <w:p>
      <w:pPr>
        <w:pStyle w:val="ListNumber"/>
        <w:spacing w:after="100"/>
        <w:numPr>
          <w:ilvl w:val="0"/>
          <w:numId w:val="13"/>
        </w:numPr>
      </w:pPr>
      <w:r>
        <w:rPr>
          <w:rFonts w:ascii="Calibri" w:hAnsi="Calibri" w:eastAsia="Calibri"/>
          <w:color w:val="0F172A"/>
        </w:rPr>
        <w:t>Negotiate capabilities and compare them with project policy and required coverage.</w:t>
      </w:r>
    </w:p>
    <w:p>
      <w:pPr>
        <w:pStyle w:val="ListNumber"/>
        <w:spacing w:after="100"/>
        <w:numPr>
          <w:ilvl w:val="0"/>
          <w:numId w:val="13"/>
        </w:numPr>
      </w:pPr>
      <w:r>
        <w:rPr>
          <w:rFonts w:ascii="Calibri" w:hAnsi="Calibri" w:eastAsia="Calibri"/>
          <w:color w:val="0F172A"/>
        </w:rPr>
        <w:t>Approve, activate and observe the provider with an explicit rollback target.</w:t>
      </w:r>
    </w:p>
    <w:p>
      <w:pPr>
        <w:pStyle w:val="ListNumber"/>
        <w:spacing w:after="100"/>
        <w:numPr>
          <w:ilvl w:val="0"/>
          <w:numId w:val="13"/>
        </w:numPr>
      </w:pPr>
      <w:r>
        <w:rPr>
          <w:rFonts w:ascii="Calibri" w:hAnsi="Calibri" w:eastAsia="Calibri"/>
          <w:color w:val="0F172A"/>
        </w:rPr>
        <w:t>Block or degrade safely when health, quality, cost or drift thresholds are breached.</w:t>
      </w:r>
    </w:p>
    <w:p>
      <w:pPr>
        <w:keepLines/>
        <w:spacing w:before="100" w:after="200"/>
        <w:ind w:left="202" w:right="144"/>
        <w:shd w:fill="FFF7ED"/>
        <w:pBdr>
          <w:left w:val="single" w:sz="22" w:space="8" w:color="D97706"/>
        </w:pBdr>
      </w:pPr>
      <w:r>
        <w:rPr>
          <w:rFonts w:ascii="Calibri" w:hAnsi="Calibri" w:eastAsia="Calibri"/>
          <w:b/>
          <w:color w:val="D97706"/>
          <w:sz w:val="18"/>
        </w:rPr>
        <w:t xml:space="preserve">EXTENSION RULE  </w:t>
      </w:r>
      <w:r>
        <w:rPr>
          <w:rFonts w:ascii="Calibri" w:hAnsi="Calibri" w:eastAsia="Calibri"/>
          <w:b w:val="0"/>
          <w:color w:val="0F172A"/>
          <w:sz w:val="20"/>
        </w:rPr>
        <w:t>Client-defined ontology types become useful only when their provider supplies validation, traversal, explanation and policy semantics.</w:t>
      </w:r>
    </w:p>
    <w:p>
      <w:pPr>
        <w:sectPr>
          <w:headerReference w:type="default" r:id="rId39"/>
          <w:footerReference w:type="default" r:id="rId40"/>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7</w:t>
      </w:r>
    </w:p>
    <w:p>
      <w:pPr>
        <w:pStyle w:val="Heading1"/>
      </w:pPr>
      <w:r>
        <w:t>Hybrid deployment and zero-trust execution</w:t>
      </w:r>
    </w:p>
    <w:p>
      <w:pPr>
        <w:keepLines w:val="0"/>
        <w:spacing w:after="140"/>
        <w:ind w:left="0" w:right="0" w:firstLine="0"/>
        <w:jc w:val="left"/>
      </w:pPr>
      <w:r>
        <w:rPr>
          <w:rFonts w:ascii="Calibri" w:hAnsi="Calibri" w:eastAsia="Calibri"/>
          <w:i w:val="0"/>
          <w:color w:val="0F172A"/>
          <w:sz w:val="19"/>
        </w:rPr>
        <w:t>The architecture supports managed, hybrid and isolated deployment without changing the framework contracts. Placement is a project policy, not an application fork.</w:t>
      </w:r>
    </w:p>
    <w:p>
      <w:pPr>
        <w:keepLines/>
        <w:spacing w:before="40" w:after="40"/>
        <w:jc w:val="center"/>
      </w:pPr>
      <w:r>
        <w:drawing>
          <wp:inline xmlns:a="http://schemas.openxmlformats.org/drawingml/2006/main" xmlns:pic="http://schemas.openxmlformats.org/drawingml/2006/picture">
            <wp:extent cx="8796528" cy="946750"/>
            <wp:docPr id="7" name="Picture 7" descr="Architecture diagram: Hybrid deployment and zero-trust execution. A governed control plane dispatches signed work into a client-controlled execution plane using short-lived identity and policy-filtered context."/>
            <wp:cNvGraphicFramePr>
              <a:graphicFrameLocks noChangeAspect="1"/>
            </wp:cNvGraphicFramePr>
            <a:graphic>
              <a:graphicData uri="http://schemas.openxmlformats.org/drawingml/2006/picture">
                <pic:pic>
                  <pic:nvPicPr>
                    <pic:cNvPr id="0" name="07_security_deployment.png"/>
                    <pic:cNvPicPr/>
                  </pic:nvPicPr>
                  <pic:blipFill>
                    <a:blip r:embed="rId43"/>
                    <a:stretch>
                      <a:fillRect/>
                    </a:stretch>
                  </pic:blipFill>
                  <pic:spPr>
                    <a:xfrm>
                      <a:off x="0" y="0"/>
                      <a:ext cx="8796528" cy="946750"/>
                    </a:xfrm>
                    <a:prstGeom prst="rect"/>
                  </pic:spPr>
                </pic:pic>
              </a:graphicData>
            </a:graphic>
          </wp:inline>
        </w:drawing>
      </w:r>
    </w:p>
    <w:p>
      <w:pPr>
        <w:pStyle w:val="Caption"/>
        <w:jc w:val="center"/>
      </w:pPr>
      <w:r>
        <w:t>Figure 7. A governed control plane dispatches signed work into a client-controlled execution plane using short-lived identity and policy-filtered context.</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Execution follows the data. Source code, credentials and sensitive test data can remain inside the client's governed boundary.</w:t>
      </w:r>
    </w:p>
    <w:p>
      <w:pPr>
        <w:sectPr>
          <w:headerReference w:type="default" r:id="rId41"/>
          <w:footerReference w:type="default" r:id="rId42"/>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9 | SECURITY, TENANCY AND DEPLOYMENT</w:t>
      </w:r>
    </w:p>
    <w:p>
      <w:pPr>
        <w:pStyle w:val="Heading1"/>
      </w:pPr>
      <w:r>
        <w:t>Security model</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460"/>
      </w:tblGrid>
      <w:tr>
        <w:trPr>
          <w:tblHeader w:val="true"/>
        </w:trPr>
        <w:tc>
          <w:tcPr>
            <w:tcW w:type="dxa" w:w="1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Control domain</w:t>
            </w:r>
          </w:p>
        </w:tc>
        <w:tc>
          <w:tcPr>
            <w:tcW w:type="dxa" w:w="74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Target-state design</w:t>
            </w:r>
          </w:p>
        </w:tc>
      </w:tr>
      <w:tr>
        <w:tc>
          <w:tcPr>
            <w:tcW w:type="dxa" w:w="1900"/>
          </w:tcPr>
          <w:p>
            <w:pPr>
              <w:spacing w:after="0" w:line="252" w:lineRule="auto"/>
            </w:pPr>
            <w:r>
              <w:rPr>
                <w:rFonts w:ascii="Calibri" w:hAnsi="Calibri" w:eastAsia="Calibri"/>
                <w:b/>
                <w:color w:val="0F172A"/>
                <w:sz w:val="17"/>
              </w:rPr>
              <w:t>Identity</w:t>
            </w:r>
          </w:p>
        </w:tc>
        <w:tc>
          <w:tcPr>
            <w:tcW w:type="dxa" w:w="7460"/>
          </w:tcPr>
          <w:p>
            <w:pPr>
              <w:spacing w:after="0" w:line="252" w:lineRule="auto"/>
            </w:pPr>
            <w:r>
              <w:rPr>
                <w:rFonts w:ascii="Calibri" w:hAnsi="Calibri" w:eastAsia="Calibri"/>
                <w:b w:val="0"/>
                <w:color w:val="0F172A"/>
                <w:sz w:val="17"/>
              </w:rPr>
              <w:t>Enterprise OIDC, workload identity, MFA, short-lived credentials and strong execution-attempt identity</w:t>
            </w:r>
          </w:p>
        </w:tc>
      </w:tr>
      <w:tr>
        <w:tc>
          <w:tcPr>
            <w:tcW w:type="dxa" w:w="1900"/>
            <w:shd w:fill="F8FAFC"/>
          </w:tcPr>
          <w:p>
            <w:pPr>
              <w:spacing w:after="0" w:line="252" w:lineRule="auto"/>
            </w:pPr>
            <w:r>
              <w:rPr>
                <w:rFonts w:ascii="Calibri" w:hAnsi="Calibri" w:eastAsia="Calibri"/>
                <w:b/>
                <w:color w:val="0F172A"/>
                <w:sz w:val="17"/>
              </w:rPr>
              <w:t>Authorization</w:t>
            </w:r>
          </w:p>
        </w:tc>
        <w:tc>
          <w:tcPr>
            <w:tcW w:type="dxa" w:w="7460"/>
            <w:shd w:fill="F8FAFC"/>
          </w:tcPr>
          <w:p>
            <w:pPr>
              <w:spacing w:after="0" w:line="252" w:lineRule="auto"/>
            </w:pPr>
            <w:r>
              <w:rPr>
                <w:rFonts w:ascii="Calibri" w:hAnsi="Calibri" w:eastAsia="Calibri"/>
                <w:b w:val="0"/>
                <w:color w:val="0F172A"/>
                <w:sz w:val="17"/>
              </w:rPr>
              <w:t>Tenant/project scope, RBAC plus attribute policy, separation of duties and tool-level permission boundaries</w:t>
            </w:r>
          </w:p>
        </w:tc>
      </w:tr>
      <w:tr>
        <w:tc>
          <w:tcPr>
            <w:tcW w:type="dxa" w:w="1900"/>
          </w:tcPr>
          <w:p>
            <w:pPr>
              <w:spacing w:after="0" w:line="252" w:lineRule="auto"/>
            </w:pPr>
            <w:r>
              <w:rPr>
                <w:rFonts w:ascii="Calibri" w:hAnsi="Calibri" w:eastAsia="Calibri"/>
                <w:b/>
                <w:color w:val="0F172A"/>
                <w:sz w:val="17"/>
              </w:rPr>
              <w:t>Data protection</w:t>
            </w:r>
          </w:p>
        </w:tc>
        <w:tc>
          <w:tcPr>
            <w:tcW w:type="dxa" w:w="7460"/>
          </w:tcPr>
          <w:p>
            <w:pPr>
              <w:spacing w:after="0" w:line="252" w:lineRule="auto"/>
            </w:pPr>
            <w:r>
              <w:rPr>
                <w:rFonts w:ascii="Calibri" w:hAnsi="Calibri" w:eastAsia="Calibri"/>
                <w:b w:val="0"/>
                <w:color w:val="0F172A"/>
                <w:sz w:val="17"/>
              </w:rPr>
              <w:t>Classification, minimization, redaction, encryption, residency, retention and evidence-reference indirection</w:t>
            </w:r>
          </w:p>
        </w:tc>
      </w:tr>
      <w:tr>
        <w:tc>
          <w:tcPr>
            <w:tcW w:type="dxa" w:w="1900"/>
            <w:shd w:fill="F8FAFC"/>
          </w:tcPr>
          <w:p>
            <w:pPr>
              <w:spacing w:after="0" w:line="252" w:lineRule="auto"/>
            </w:pPr>
            <w:r>
              <w:rPr>
                <w:rFonts w:ascii="Calibri" w:hAnsi="Calibri" w:eastAsia="Calibri"/>
                <w:b/>
                <w:color w:val="0F172A"/>
                <w:sz w:val="17"/>
              </w:rPr>
              <w:t>Execution isolation</w:t>
            </w:r>
          </w:p>
        </w:tc>
        <w:tc>
          <w:tcPr>
            <w:tcW w:type="dxa" w:w="7460"/>
            <w:shd w:fill="F8FAFC"/>
          </w:tcPr>
          <w:p>
            <w:pPr>
              <w:spacing w:after="0" w:line="252" w:lineRule="auto"/>
            </w:pPr>
            <w:r>
              <w:rPr>
                <w:rFonts w:ascii="Calibri" w:hAnsi="Calibri" w:eastAsia="Calibri"/>
                <w:b w:val="0"/>
                <w:color w:val="0F172A"/>
                <w:sz w:val="17"/>
              </w:rPr>
              <w:t>Ephemeral workspaces, sandboxing, egress allowlists, signed work orders and attested artifacts</w:t>
            </w:r>
          </w:p>
        </w:tc>
      </w:tr>
      <w:tr>
        <w:tc>
          <w:tcPr>
            <w:tcW w:type="dxa" w:w="1900"/>
          </w:tcPr>
          <w:p>
            <w:pPr>
              <w:spacing w:after="0" w:line="252" w:lineRule="auto"/>
            </w:pPr>
            <w:r>
              <w:rPr>
                <w:rFonts w:ascii="Calibri" w:hAnsi="Calibri" w:eastAsia="Calibri"/>
                <w:b/>
                <w:color w:val="0F172A"/>
                <w:sz w:val="17"/>
              </w:rPr>
              <w:t>Secrets</w:t>
            </w:r>
          </w:p>
        </w:tc>
        <w:tc>
          <w:tcPr>
            <w:tcW w:type="dxa" w:w="7460"/>
          </w:tcPr>
          <w:p>
            <w:pPr>
              <w:spacing w:after="0" w:line="252" w:lineRule="auto"/>
            </w:pPr>
            <w:r>
              <w:rPr>
                <w:rFonts w:ascii="Calibri" w:hAnsi="Calibri" w:eastAsia="Calibri"/>
                <w:b w:val="0"/>
                <w:color w:val="0F172A"/>
                <w:sz w:val="17"/>
              </w:rPr>
              <w:t>Vault references, per-job retrieval, rotation and prohibition on persistence in prompts, logs or graph assertions</w:t>
            </w:r>
          </w:p>
        </w:tc>
      </w:tr>
      <w:tr>
        <w:tc>
          <w:tcPr>
            <w:tcW w:type="dxa" w:w="1900"/>
            <w:shd w:fill="F8FAFC"/>
          </w:tcPr>
          <w:p>
            <w:pPr>
              <w:spacing w:after="0" w:line="252" w:lineRule="auto"/>
            </w:pPr>
            <w:r>
              <w:rPr>
                <w:rFonts w:ascii="Calibri" w:hAnsi="Calibri" w:eastAsia="Calibri"/>
                <w:b/>
                <w:color w:val="0F172A"/>
                <w:sz w:val="17"/>
              </w:rPr>
              <w:t>Supply chain</w:t>
            </w:r>
          </w:p>
        </w:tc>
        <w:tc>
          <w:tcPr>
            <w:tcW w:type="dxa" w:w="7460"/>
            <w:shd w:fill="F8FAFC"/>
          </w:tcPr>
          <w:p>
            <w:pPr>
              <w:spacing w:after="0" w:line="252" w:lineRule="auto"/>
            </w:pPr>
            <w:r>
              <w:rPr>
                <w:rFonts w:ascii="Calibri" w:hAnsi="Calibri" w:eastAsia="Calibri"/>
                <w:b w:val="0"/>
                <w:color w:val="0F172A"/>
                <w:sz w:val="17"/>
              </w:rPr>
              <w:t>Signed plugins, SBOM, provenance, conformance, vulnerability policy and controlled rollback</w:t>
            </w:r>
          </w:p>
        </w:tc>
      </w:tr>
      <w:tr>
        <w:tc>
          <w:tcPr>
            <w:tcW w:type="dxa" w:w="1900"/>
          </w:tcPr>
          <w:p>
            <w:pPr>
              <w:spacing w:after="0" w:line="252" w:lineRule="auto"/>
            </w:pPr>
            <w:r>
              <w:rPr>
                <w:rFonts w:ascii="Calibri" w:hAnsi="Calibri" w:eastAsia="Calibri"/>
                <w:b/>
                <w:color w:val="0F172A"/>
                <w:sz w:val="17"/>
              </w:rPr>
              <w:t>Audit</w:t>
            </w:r>
          </w:p>
        </w:tc>
        <w:tc>
          <w:tcPr>
            <w:tcW w:type="dxa" w:w="7460"/>
          </w:tcPr>
          <w:p>
            <w:pPr>
              <w:spacing w:after="0" w:line="252" w:lineRule="auto"/>
            </w:pPr>
            <w:r>
              <w:rPr>
                <w:rFonts w:ascii="Calibri" w:hAnsi="Calibri" w:eastAsia="Calibri"/>
                <w:b w:val="0"/>
                <w:color w:val="0F172A"/>
                <w:sz w:val="17"/>
              </w:rPr>
              <w:t>Immutable command, tool, model, evidence, approval and policy-decision records forwarded to client SIEM</w:t>
            </w:r>
          </w:p>
        </w:tc>
      </w:tr>
      <w:tr>
        <w:tc>
          <w:tcPr>
            <w:tcW w:type="dxa" w:w="1900"/>
            <w:shd w:fill="F8FAFC"/>
          </w:tcPr>
          <w:p>
            <w:pPr>
              <w:spacing w:after="0" w:line="252" w:lineRule="auto"/>
            </w:pPr>
            <w:r>
              <w:rPr>
                <w:rFonts w:ascii="Calibri" w:hAnsi="Calibri" w:eastAsia="Calibri"/>
                <w:b/>
                <w:color w:val="0F172A"/>
                <w:sz w:val="17"/>
              </w:rPr>
              <w:t>AI safety</w:t>
            </w:r>
          </w:p>
        </w:tc>
        <w:tc>
          <w:tcPr>
            <w:tcW w:type="dxa" w:w="7460"/>
            <w:shd w:fill="F8FAFC"/>
          </w:tcPr>
          <w:p>
            <w:pPr>
              <w:spacing w:after="0" w:line="252" w:lineRule="auto"/>
            </w:pPr>
            <w:r>
              <w:rPr>
                <w:rFonts w:ascii="Calibri" w:hAnsi="Calibri" w:eastAsia="Calibri"/>
                <w:b w:val="0"/>
                <w:color w:val="0F172A"/>
                <w:sz w:val="17"/>
              </w:rPr>
              <w:t>Tool allowlists, context filtering, prompt-injection defenses, output validation, budget and human-authority boundaries</w:t>
            </w:r>
          </w:p>
        </w:tc>
      </w:tr>
    </w:tbl>
    <w:p>
      <w:pPr>
        <w:spacing w:before="0" w:after="40"/>
      </w:pPr>
    </w:p>
    <w:p>
      <w:pPr>
        <w:pStyle w:val="Heading2"/>
      </w:pPr>
      <w:r>
        <w:t>Deployment profiles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2600"/>
        <w:gridCol w:w="2500"/>
        <w:gridCol w:w="2960"/>
      </w:tblGrid>
      <w:tr>
        <w:trPr>
          <w:tblHeader w:val="true"/>
        </w:trPr>
        <w:tc>
          <w:tcPr>
            <w:tcW w:type="dxa" w:w="13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Profile</w:t>
            </w:r>
          </w:p>
        </w:tc>
        <w:tc>
          <w:tcPr>
            <w:tcW w:type="dxa" w:w="26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Placement</w:t>
            </w:r>
          </w:p>
        </w:tc>
        <w:tc>
          <w:tcPr>
            <w:tcW w:type="dxa" w:w="25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Typical fit</w:t>
            </w:r>
          </w:p>
        </w:tc>
        <w:tc>
          <w:tcPr>
            <w:tcW w:type="dxa" w:w="29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Boundary</w:t>
            </w:r>
          </w:p>
        </w:tc>
      </w:tr>
      <w:tr>
        <w:tc>
          <w:tcPr>
            <w:tcW w:type="dxa" w:w="1300"/>
          </w:tcPr>
          <w:p>
            <w:pPr>
              <w:spacing w:after="0" w:line="252" w:lineRule="auto"/>
            </w:pPr>
            <w:r>
              <w:rPr>
                <w:rFonts w:ascii="Calibri" w:hAnsi="Calibri" w:eastAsia="Calibri"/>
                <w:b/>
                <w:color w:val="0F172A"/>
                <w:sz w:val="16"/>
              </w:rPr>
              <w:t>Managed</w:t>
            </w:r>
          </w:p>
        </w:tc>
        <w:tc>
          <w:tcPr>
            <w:tcW w:type="dxa" w:w="2600"/>
          </w:tcPr>
          <w:p>
            <w:pPr>
              <w:spacing w:after="0" w:line="252" w:lineRule="auto"/>
            </w:pPr>
            <w:r>
              <w:rPr>
                <w:rFonts w:ascii="Calibri" w:hAnsi="Calibri" w:eastAsia="Calibri"/>
                <w:b w:val="0"/>
                <w:color w:val="0F172A"/>
                <w:sz w:val="16"/>
              </w:rPr>
              <w:t>Managed control and execution planes</w:t>
            </w:r>
          </w:p>
        </w:tc>
        <w:tc>
          <w:tcPr>
            <w:tcW w:type="dxa" w:w="2500"/>
          </w:tcPr>
          <w:p>
            <w:pPr>
              <w:spacing w:after="0" w:line="252" w:lineRule="auto"/>
            </w:pPr>
            <w:r>
              <w:rPr>
                <w:rFonts w:ascii="Calibri" w:hAnsi="Calibri" w:eastAsia="Calibri"/>
                <w:b w:val="0"/>
                <w:color w:val="0F172A"/>
                <w:sz w:val="16"/>
              </w:rPr>
              <w:t>Low sensitivity; fastest onboarding</w:t>
            </w:r>
          </w:p>
        </w:tc>
        <w:tc>
          <w:tcPr>
            <w:tcW w:type="dxa" w:w="2960"/>
          </w:tcPr>
          <w:p>
            <w:pPr>
              <w:spacing w:after="0" w:line="252" w:lineRule="auto"/>
            </w:pPr>
            <w:r>
              <w:rPr>
                <w:rFonts w:ascii="Calibri" w:hAnsi="Calibri" w:eastAsia="Calibri"/>
                <w:b w:val="0"/>
                <w:color w:val="0F172A"/>
                <w:sz w:val="16"/>
              </w:rPr>
              <w:t>Logical tenant isolation plus customer-specific policy</w:t>
            </w:r>
          </w:p>
        </w:tc>
      </w:tr>
      <w:tr>
        <w:tc>
          <w:tcPr>
            <w:tcW w:type="dxa" w:w="1300"/>
            <w:shd w:fill="F8FAFC"/>
          </w:tcPr>
          <w:p>
            <w:pPr>
              <w:spacing w:after="0" w:line="252" w:lineRule="auto"/>
            </w:pPr>
            <w:r>
              <w:rPr>
                <w:rFonts w:ascii="Calibri" w:hAnsi="Calibri" w:eastAsia="Calibri"/>
                <w:b/>
                <w:color w:val="0F172A"/>
                <w:sz w:val="16"/>
              </w:rPr>
              <w:t>Hybrid</w:t>
            </w:r>
          </w:p>
        </w:tc>
        <w:tc>
          <w:tcPr>
            <w:tcW w:type="dxa" w:w="2600"/>
            <w:shd w:fill="F8FAFC"/>
          </w:tcPr>
          <w:p>
            <w:pPr>
              <w:spacing w:after="0" w:line="252" w:lineRule="auto"/>
            </w:pPr>
            <w:r>
              <w:rPr>
                <w:rFonts w:ascii="Calibri" w:hAnsi="Calibri" w:eastAsia="Calibri"/>
                <w:b w:val="0"/>
                <w:color w:val="0F172A"/>
                <w:sz w:val="16"/>
              </w:rPr>
              <w:t>Managed control plane; client-hosted execution and data</w:t>
            </w:r>
          </w:p>
        </w:tc>
        <w:tc>
          <w:tcPr>
            <w:tcW w:type="dxa" w:w="2500"/>
            <w:shd w:fill="F8FAFC"/>
          </w:tcPr>
          <w:p>
            <w:pPr>
              <w:spacing w:after="0" w:line="252" w:lineRule="auto"/>
            </w:pPr>
            <w:r>
              <w:rPr>
                <w:rFonts w:ascii="Calibri" w:hAnsi="Calibri" w:eastAsia="Calibri"/>
                <w:b w:val="0"/>
                <w:color w:val="0F172A"/>
                <w:sz w:val="16"/>
              </w:rPr>
              <w:t>Enterprise default</w:t>
            </w:r>
          </w:p>
        </w:tc>
        <w:tc>
          <w:tcPr>
            <w:tcW w:type="dxa" w:w="2960"/>
            <w:shd w:fill="F8FAFC"/>
          </w:tcPr>
          <w:p>
            <w:pPr>
              <w:spacing w:after="0" w:line="252" w:lineRule="auto"/>
            </w:pPr>
            <w:r>
              <w:rPr>
                <w:rFonts w:ascii="Calibri" w:hAnsi="Calibri" w:eastAsia="Calibri"/>
                <w:b w:val="0"/>
                <w:color w:val="0F172A"/>
                <w:sz w:val="16"/>
              </w:rPr>
              <w:t>Code, credentials and test data remain client-side</w:t>
            </w:r>
          </w:p>
        </w:tc>
      </w:tr>
      <w:tr>
        <w:tc>
          <w:tcPr>
            <w:tcW w:type="dxa" w:w="1300"/>
          </w:tcPr>
          <w:p>
            <w:pPr>
              <w:spacing w:after="0" w:line="252" w:lineRule="auto"/>
            </w:pPr>
            <w:r>
              <w:rPr>
                <w:rFonts w:ascii="Calibri" w:hAnsi="Calibri" w:eastAsia="Calibri"/>
                <w:b/>
                <w:color w:val="0F172A"/>
                <w:sz w:val="16"/>
              </w:rPr>
              <w:t>Private</w:t>
            </w:r>
          </w:p>
        </w:tc>
        <w:tc>
          <w:tcPr>
            <w:tcW w:type="dxa" w:w="2600"/>
          </w:tcPr>
          <w:p>
            <w:pPr>
              <w:spacing w:after="0" w:line="252" w:lineRule="auto"/>
            </w:pPr>
            <w:r>
              <w:rPr>
                <w:rFonts w:ascii="Calibri" w:hAnsi="Calibri" w:eastAsia="Calibri"/>
                <w:b w:val="0"/>
                <w:color w:val="0F172A"/>
                <w:sz w:val="16"/>
              </w:rPr>
              <w:t>Fully deployed in client cloud or data center</w:t>
            </w:r>
          </w:p>
        </w:tc>
        <w:tc>
          <w:tcPr>
            <w:tcW w:type="dxa" w:w="2500"/>
          </w:tcPr>
          <w:p>
            <w:pPr>
              <w:spacing w:after="0" w:line="252" w:lineRule="auto"/>
            </w:pPr>
            <w:r>
              <w:rPr>
                <w:rFonts w:ascii="Calibri" w:hAnsi="Calibri" w:eastAsia="Calibri"/>
                <w:b w:val="0"/>
                <w:color w:val="0F172A"/>
                <w:sz w:val="16"/>
              </w:rPr>
              <w:t>Regulated or sovereign workloads</w:t>
            </w:r>
          </w:p>
        </w:tc>
        <w:tc>
          <w:tcPr>
            <w:tcW w:type="dxa" w:w="2960"/>
          </w:tcPr>
          <w:p>
            <w:pPr>
              <w:spacing w:after="0" w:line="252" w:lineRule="auto"/>
            </w:pPr>
            <w:r>
              <w:rPr>
                <w:rFonts w:ascii="Calibri" w:hAnsi="Calibri" w:eastAsia="Calibri"/>
                <w:b w:val="0"/>
                <w:color w:val="0F172A"/>
                <w:sz w:val="16"/>
              </w:rPr>
              <w:t>Client controls infrastructure, keys and operations</w:t>
            </w:r>
          </w:p>
        </w:tc>
      </w:tr>
      <w:tr>
        <w:tc>
          <w:tcPr>
            <w:tcW w:type="dxa" w:w="1300"/>
            <w:shd w:fill="F8FAFC"/>
          </w:tcPr>
          <w:p>
            <w:pPr>
              <w:spacing w:after="0" w:line="252" w:lineRule="auto"/>
            </w:pPr>
            <w:r>
              <w:rPr>
                <w:rFonts w:ascii="Calibri" w:hAnsi="Calibri" w:eastAsia="Calibri"/>
                <w:b/>
                <w:color w:val="0F172A"/>
                <w:sz w:val="16"/>
              </w:rPr>
              <w:t>Isolated enclave</w:t>
            </w:r>
          </w:p>
        </w:tc>
        <w:tc>
          <w:tcPr>
            <w:tcW w:type="dxa" w:w="2600"/>
            <w:shd w:fill="F8FAFC"/>
          </w:tcPr>
          <w:p>
            <w:pPr>
              <w:spacing w:after="0" w:line="252" w:lineRule="auto"/>
            </w:pPr>
            <w:r>
              <w:rPr>
                <w:rFonts w:ascii="Calibri" w:hAnsi="Calibri" w:eastAsia="Calibri"/>
                <w:b w:val="0"/>
                <w:color w:val="0F172A"/>
                <w:sz w:val="16"/>
              </w:rPr>
              <w:t>Disconnected or tightly allowlisted deployment</w:t>
            </w:r>
          </w:p>
        </w:tc>
        <w:tc>
          <w:tcPr>
            <w:tcW w:type="dxa" w:w="2500"/>
            <w:shd w:fill="F8FAFC"/>
          </w:tcPr>
          <w:p>
            <w:pPr>
              <w:spacing w:after="0" w:line="252" w:lineRule="auto"/>
            </w:pPr>
            <w:r>
              <w:rPr>
                <w:rFonts w:ascii="Calibri" w:hAnsi="Calibri" w:eastAsia="Calibri"/>
                <w:b w:val="0"/>
                <w:color w:val="0F172A"/>
                <w:sz w:val="16"/>
              </w:rPr>
              <w:t>Highest restriction</w:t>
            </w:r>
          </w:p>
        </w:tc>
        <w:tc>
          <w:tcPr>
            <w:tcW w:type="dxa" w:w="2960"/>
            <w:shd w:fill="F8FAFC"/>
          </w:tcPr>
          <w:p>
            <w:pPr>
              <w:spacing w:after="0" w:line="252" w:lineRule="auto"/>
            </w:pPr>
            <w:r>
              <w:rPr>
                <w:rFonts w:ascii="Calibri" w:hAnsi="Calibri" w:eastAsia="Calibri"/>
                <w:b w:val="0"/>
                <w:color w:val="0F172A"/>
                <w:sz w:val="16"/>
              </w:rPr>
              <w:t>Local models/providers; curated update bundles</w:t>
            </w:r>
          </w:p>
        </w:tc>
      </w:tr>
    </w:tbl>
    <w:p>
      <w:pPr>
        <w:spacing w:before="0" w:after="40"/>
      </w:pPr>
    </w:p>
    <w:p>
      <w:pPr>
        <w:sectPr>
          <w:headerReference w:type="default" r:id="rId44"/>
          <w:footerReference w:type="default" r:id="rId45"/>
          <w:pgSz w:w="12240" w:h="15840"/>
          <w:pgMar w:top="1440" w:right="1440" w:bottom="1440" w:left="1440" w:header="708" w:footer="708" w:gutter="0"/>
          <w:cols w:space="720"/>
          <w:docGrid w:linePitch="360"/>
        </w:sectPr>
      </w:pPr>
    </w:p>
    <w:p>
      <w:pPr>
        <w:spacing w:after="80"/>
        <w:ind w:left="0" w:firstLine="0"/>
        <w:jc w:val="left"/>
      </w:pPr>
      <w:r>
        <w:rPr>
          <w:rFonts w:ascii="Calibri" w:hAnsi="Calibri" w:eastAsia="Calibri"/>
          <w:b/>
          <w:color w:val="0F766E"/>
          <w:sz w:val="19"/>
        </w:rPr>
        <w:t>ARCHITECTURE VIEW 8</w:t>
      </w:r>
    </w:p>
    <w:p>
      <w:pPr>
        <w:pStyle w:val="Heading1"/>
      </w:pPr>
      <w:r>
        <w:t>Governed closed-loop learning</w:t>
      </w:r>
    </w:p>
    <w:p>
      <w:pPr>
        <w:keepLines w:val="0"/>
        <w:spacing w:after="140"/>
        <w:ind w:left="0" w:right="0" w:firstLine="0"/>
        <w:jc w:val="left"/>
      </w:pPr>
      <w:r>
        <w:rPr>
          <w:rFonts w:ascii="Calibri" w:hAnsi="Calibri" w:eastAsia="Calibri"/>
          <w:i w:val="0"/>
          <w:color w:val="0F172A"/>
          <w:sz w:val="19"/>
        </w:rPr>
        <w:t>The evaluation factory is a product subsystem. It measures whether impact, test selection, providers, prompts and policies improve without increasing risk or creating tenant leakage.</w:t>
      </w:r>
    </w:p>
    <w:p>
      <w:pPr>
        <w:keepLines/>
        <w:spacing w:before="40" w:after="40"/>
        <w:jc w:val="center"/>
      </w:pPr>
      <w:r>
        <w:drawing>
          <wp:inline xmlns:a="http://schemas.openxmlformats.org/drawingml/2006/main" xmlns:pic="http://schemas.openxmlformats.org/drawingml/2006/picture">
            <wp:extent cx="8796528" cy="802817"/>
            <wp:docPr id="8" name="Picture 8" descr="Architecture diagram: Governed closed-loop learning. Observed delivery outcomes become labeled evaluation cases; only measured, approved and signed improvements reach runtime."/>
            <wp:cNvGraphicFramePr>
              <a:graphicFrameLocks noChangeAspect="1"/>
            </wp:cNvGraphicFramePr>
            <a:graphic>
              <a:graphicData uri="http://schemas.openxmlformats.org/drawingml/2006/picture">
                <pic:pic>
                  <pic:nvPicPr>
                    <pic:cNvPr id="0" name="08_learning_loop.png"/>
                    <pic:cNvPicPr/>
                  </pic:nvPicPr>
                  <pic:blipFill>
                    <a:blip r:embed="rId48"/>
                    <a:stretch>
                      <a:fillRect/>
                    </a:stretch>
                  </pic:blipFill>
                  <pic:spPr>
                    <a:xfrm>
                      <a:off x="0" y="0"/>
                      <a:ext cx="8796528" cy="802817"/>
                    </a:xfrm>
                    <a:prstGeom prst="rect"/>
                  </pic:spPr>
                </pic:pic>
              </a:graphicData>
            </a:graphic>
          </wp:inline>
        </w:drawing>
      </w:r>
    </w:p>
    <w:p>
      <w:pPr>
        <w:pStyle w:val="Caption"/>
        <w:jc w:val="center"/>
      </w:pPr>
      <w:r>
        <w:t>Figure 8. Observed delivery outcomes become labeled evaluation cases; only measured, approved and signed improvements reach runtime.</w:t>
      </w:r>
    </w:p>
    <w:p>
      <w:pPr>
        <w:keepLines/>
        <w:spacing w:before="100" w:after="200"/>
        <w:ind w:left="202" w:right="144"/>
        <w:shd w:fill="ECFDF5"/>
        <w:pBdr>
          <w:left w:val="single" w:sz="22" w:space="8" w:color="0F766E"/>
        </w:pBdr>
      </w:pPr>
      <w:r>
        <w:rPr>
          <w:rFonts w:ascii="Calibri" w:hAnsi="Calibri" w:eastAsia="Calibri"/>
          <w:b/>
          <w:color w:val="0F766E"/>
          <w:sz w:val="18"/>
        </w:rPr>
        <w:t xml:space="preserve">LEADERSHIP TAKEAWAY  </w:t>
      </w:r>
      <w:r>
        <w:rPr>
          <w:rFonts w:ascii="Calibri" w:hAnsi="Calibri" w:eastAsia="Calibri"/>
          <w:b w:val="0"/>
          <w:color w:val="0F172A"/>
          <w:sz w:val="20"/>
        </w:rPr>
        <w:t>The framework learns through controlled promotion, never through agents silently rewriting their own controls.</w:t>
      </w:r>
    </w:p>
    <w:p>
      <w:pPr>
        <w:sectPr>
          <w:headerReference w:type="default" r:id="rId46"/>
          <w:footerReference w:type="default" r:id="rId47"/>
          <w:pgSz w:w="15840" w:h="12240" w:orient="landscape"/>
          <w:pgMar w:top="893" w:right="936" w:bottom="893" w:left="936" w:header="432" w:footer="432" w:gutter="0"/>
          <w:cols w:space="720"/>
          <w:docGrid w:linePitch="360"/>
        </w:sectPr>
      </w:pPr>
    </w:p>
    <w:p>
      <w:pPr>
        <w:spacing w:after="80"/>
        <w:ind w:left="0" w:firstLine="0"/>
        <w:jc w:val="left"/>
      </w:pPr>
      <w:r>
        <w:rPr>
          <w:rFonts w:ascii="Calibri" w:hAnsi="Calibri" w:eastAsia="Calibri"/>
          <w:b/>
          <w:color w:val="0F766E"/>
          <w:sz w:val="19"/>
        </w:rPr>
        <w:t>10 | EVALUATION AND GOVERNANCE</w:t>
      </w:r>
    </w:p>
    <w:p>
      <w:pPr>
        <w:pStyle w:val="Heading1"/>
      </w:pPr>
      <w:r>
        <w:t>Accuracy is an operating discipline</w:t>
      </w:r>
    </w:p>
    <w:p>
      <w:pPr>
        <w:keepLines w:val="0"/>
        <w:spacing w:after="120"/>
        <w:ind w:left="0" w:right="0" w:firstLine="0"/>
        <w:jc w:val="left"/>
      </w:pPr>
      <w:r>
        <w:rPr>
          <w:rFonts w:ascii="Calibri" w:hAnsi="Calibri" w:eastAsia="Calibri"/>
          <w:i w:val="0"/>
          <w:color w:val="0F172A"/>
        </w:rPr>
        <w:t>Impact and test-selection credibility cannot be established by architecture alone. Each client and technology estate requires calibrated evidence. The framework therefore treats evaluation datasets, replay and quality thresholds as production capabilities.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4300"/>
        <w:gridCol w:w="2860"/>
      </w:tblGrid>
      <w:tr>
        <w:trPr>
          <w:tblHeader w:val="true"/>
        </w:trPr>
        <w:tc>
          <w:tcPr>
            <w:tcW w:type="dxa" w:w="2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Measure</w:t>
            </w:r>
          </w:p>
        </w:tc>
        <w:tc>
          <w:tcPr>
            <w:tcW w:type="dxa" w:w="43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Question answered</w:t>
            </w:r>
          </w:p>
        </w:tc>
        <w:tc>
          <w:tcPr>
            <w:tcW w:type="dxa" w:w="28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Primary evidence</w:t>
            </w:r>
          </w:p>
        </w:tc>
      </w:tr>
      <w:tr>
        <w:tc>
          <w:tcPr>
            <w:tcW w:type="dxa" w:w="2200"/>
          </w:tcPr>
          <w:p>
            <w:pPr>
              <w:spacing w:after="0" w:line="252" w:lineRule="auto"/>
            </w:pPr>
            <w:r>
              <w:rPr>
                <w:rFonts w:ascii="Calibri" w:hAnsi="Calibri" w:eastAsia="Calibri"/>
                <w:b/>
                <w:color w:val="0F172A"/>
                <w:sz w:val="16"/>
              </w:rPr>
              <w:t>Impact recall at bounded radius</w:t>
            </w:r>
          </w:p>
        </w:tc>
        <w:tc>
          <w:tcPr>
            <w:tcW w:type="dxa" w:w="4300"/>
          </w:tcPr>
          <w:p>
            <w:pPr>
              <w:spacing w:after="0" w:line="252" w:lineRule="auto"/>
            </w:pPr>
            <w:r>
              <w:rPr>
                <w:rFonts w:ascii="Calibri" w:hAnsi="Calibri" w:eastAsia="Calibri"/>
                <w:b w:val="0"/>
                <w:color w:val="0F172A"/>
                <w:sz w:val="16"/>
              </w:rPr>
              <w:t>How much observed consequence is captured within an acceptable review/test budget</w:t>
            </w:r>
          </w:p>
        </w:tc>
        <w:tc>
          <w:tcPr>
            <w:tcW w:type="dxa" w:w="2860"/>
          </w:tcPr>
          <w:p>
            <w:pPr>
              <w:spacing w:after="0" w:line="252" w:lineRule="auto"/>
            </w:pPr>
            <w:r>
              <w:rPr>
                <w:rFonts w:ascii="Calibri" w:hAnsi="Calibri" w:eastAsia="Calibri"/>
                <w:b w:val="0"/>
                <w:color w:val="0F172A"/>
                <w:sz w:val="16"/>
              </w:rPr>
              <w:t>Time-split history, mutation, failures and incidents</w:t>
            </w:r>
          </w:p>
        </w:tc>
      </w:tr>
      <w:tr>
        <w:tc>
          <w:tcPr>
            <w:tcW w:type="dxa" w:w="2200"/>
            <w:shd w:fill="F8FAFC"/>
          </w:tcPr>
          <w:p>
            <w:pPr>
              <w:spacing w:after="0" w:line="252" w:lineRule="auto"/>
            </w:pPr>
            <w:r>
              <w:rPr>
                <w:rFonts w:ascii="Calibri" w:hAnsi="Calibri" w:eastAsia="Calibri"/>
                <w:b/>
                <w:color w:val="0F172A"/>
                <w:sz w:val="16"/>
              </w:rPr>
              <w:t>Test-selection miss rate</w:t>
            </w:r>
          </w:p>
        </w:tc>
        <w:tc>
          <w:tcPr>
            <w:tcW w:type="dxa" w:w="4300"/>
            <w:shd w:fill="F8FAFC"/>
          </w:tcPr>
          <w:p>
            <w:pPr>
              <w:spacing w:after="0" w:line="252" w:lineRule="auto"/>
            </w:pPr>
            <w:r>
              <w:rPr>
                <w:rFonts w:ascii="Calibri" w:hAnsi="Calibri" w:eastAsia="Calibri"/>
                <w:b w:val="0"/>
                <w:color w:val="0F172A"/>
                <w:sz w:val="16"/>
              </w:rPr>
              <w:t>Required tests omitted from the selected portfolio</w:t>
            </w:r>
          </w:p>
        </w:tc>
        <w:tc>
          <w:tcPr>
            <w:tcW w:type="dxa" w:w="2860"/>
            <w:shd w:fill="F8FAFC"/>
          </w:tcPr>
          <w:p>
            <w:pPr>
              <w:spacing w:after="0" w:line="252" w:lineRule="auto"/>
            </w:pPr>
            <w:r>
              <w:rPr>
                <w:rFonts w:ascii="Calibri" w:hAnsi="Calibri" w:eastAsia="Calibri"/>
                <w:b w:val="0"/>
                <w:color w:val="0F172A"/>
                <w:sz w:val="16"/>
              </w:rPr>
              <w:t>Full-suite shadow runs and production escapes</w:t>
            </w:r>
          </w:p>
        </w:tc>
      </w:tr>
      <w:tr>
        <w:tc>
          <w:tcPr>
            <w:tcW w:type="dxa" w:w="2200"/>
          </w:tcPr>
          <w:p>
            <w:pPr>
              <w:spacing w:after="0" w:line="252" w:lineRule="auto"/>
            </w:pPr>
            <w:r>
              <w:rPr>
                <w:rFonts w:ascii="Calibri" w:hAnsi="Calibri" w:eastAsia="Calibri"/>
                <w:b/>
                <w:color w:val="0F172A"/>
                <w:sz w:val="16"/>
              </w:rPr>
              <w:t>False-block rate</w:t>
            </w:r>
          </w:p>
        </w:tc>
        <w:tc>
          <w:tcPr>
            <w:tcW w:type="dxa" w:w="4300"/>
          </w:tcPr>
          <w:p>
            <w:pPr>
              <w:spacing w:after="0" w:line="252" w:lineRule="auto"/>
            </w:pPr>
            <w:r>
              <w:rPr>
                <w:rFonts w:ascii="Calibri" w:hAnsi="Calibri" w:eastAsia="Calibri"/>
                <w:b w:val="0"/>
                <w:color w:val="0F172A"/>
                <w:sz w:val="16"/>
              </w:rPr>
              <w:t>Changes delayed without corresponding risk reduction</w:t>
            </w:r>
          </w:p>
        </w:tc>
        <w:tc>
          <w:tcPr>
            <w:tcW w:type="dxa" w:w="2860"/>
          </w:tcPr>
          <w:p>
            <w:pPr>
              <w:spacing w:after="0" w:line="252" w:lineRule="auto"/>
            </w:pPr>
            <w:r>
              <w:rPr>
                <w:rFonts w:ascii="Calibri" w:hAnsi="Calibri" w:eastAsia="Calibri"/>
                <w:b w:val="0"/>
                <w:color w:val="0F172A"/>
                <w:sz w:val="16"/>
              </w:rPr>
              <w:t>Gate overrides and post-release outcomes</w:t>
            </w:r>
          </w:p>
        </w:tc>
      </w:tr>
      <w:tr>
        <w:tc>
          <w:tcPr>
            <w:tcW w:type="dxa" w:w="2200"/>
            <w:shd w:fill="F8FAFC"/>
          </w:tcPr>
          <w:p>
            <w:pPr>
              <w:spacing w:after="0" w:line="252" w:lineRule="auto"/>
            </w:pPr>
            <w:r>
              <w:rPr>
                <w:rFonts w:ascii="Calibri" w:hAnsi="Calibri" w:eastAsia="Calibri"/>
                <w:b/>
                <w:color w:val="0F172A"/>
                <w:sz w:val="16"/>
              </w:rPr>
              <w:t>Evidence completeness</w:t>
            </w:r>
          </w:p>
        </w:tc>
        <w:tc>
          <w:tcPr>
            <w:tcW w:type="dxa" w:w="4300"/>
            <w:shd w:fill="F8FAFC"/>
          </w:tcPr>
          <w:p>
            <w:pPr>
              <w:spacing w:after="0" w:line="252" w:lineRule="auto"/>
            </w:pPr>
            <w:r>
              <w:rPr>
                <w:rFonts w:ascii="Calibri" w:hAnsi="Calibri" w:eastAsia="Calibri"/>
                <w:b w:val="0"/>
                <w:color w:val="0F172A"/>
                <w:sz w:val="16"/>
              </w:rPr>
              <w:t>Obligations with revision-bound, attributable and signed evidence</w:t>
            </w:r>
          </w:p>
        </w:tc>
        <w:tc>
          <w:tcPr>
            <w:tcW w:type="dxa" w:w="2860"/>
            <w:shd w:fill="F8FAFC"/>
          </w:tcPr>
          <w:p>
            <w:pPr>
              <w:spacing w:after="0" w:line="252" w:lineRule="auto"/>
            </w:pPr>
            <w:r>
              <w:rPr>
                <w:rFonts w:ascii="Calibri" w:hAnsi="Calibri" w:eastAsia="Calibri"/>
                <w:b w:val="0"/>
                <w:color w:val="0F172A"/>
                <w:sz w:val="16"/>
              </w:rPr>
              <w:t>Evidence graph conformance</w:t>
            </w:r>
          </w:p>
        </w:tc>
      </w:tr>
      <w:tr>
        <w:tc>
          <w:tcPr>
            <w:tcW w:type="dxa" w:w="2200"/>
          </w:tcPr>
          <w:p>
            <w:pPr>
              <w:spacing w:after="0" w:line="252" w:lineRule="auto"/>
            </w:pPr>
            <w:r>
              <w:rPr>
                <w:rFonts w:ascii="Calibri" w:hAnsi="Calibri" w:eastAsia="Calibri"/>
                <w:b/>
                <w:color w:val="0F172A"/>
                <w:sz w:val="16"/>
              </w:rPr>
              <w:t>Context quality vector</w:t>
            </w:r>
          </w:p>
        </w:tc>
        <w:tc>
          <w:tcPr>
            <w:tcW w:type="dxa" w:w="4300"/>
          </w:tcPr>
          <w:p>
            <w:pPr>
              <w:spacing w:after="0" w:line="252" w:lineRule="auto"/>
            </w:pPr>
            <w:r>
              <w:rPr>
                <w:rFonts w:ascii="Calibri" w:hAnsi="Calibri" w:eastAsia="Calibri"/>
                <w:b w:val="0"/>
                <w:color w:val="0F172A"/>
                <w:sz w:val="16"/>
              </w:rPr>
              <w:t>Coverage, freshness, unresolved surfaces, provider health and hash equality</w:t>
            </w:r>
          </w:p>
        </w:tc>
        <w:tc>
          <w:tcPr>
            <w:tcW w:type="dxa" w:w="2860"/>
          </w:tcPr>
          <w:p>
            <w:pPr>
              <w:spacing w:after="0" w:line="252" w:lineRule="auto"/>
            </w:pPr>
            <w:r>
              <w:rPr>
                <w:rFonts w:ascii="Calibri" w:hAnsi="Calibri" w:eastAsia="Calibri"/>
                <w:b w:val="0"/>
                <w:color w:val="0F172A"/>
                <w:sz w:val="16"/>
              </w:rPr>
              <w:t>Snapshot manifest and provider telemetry</w:t>
            </w:r>
          </w:p>
        </w:tc>
      </w:tr>
      <w:tr>
        <w:tc>
          <w:tcPr>
            <w:tcW w:type="dxa" w:w="2200"/>
            <w:shd w:fill="F8FAFC"/>
          </w:tcPr>
          <w:p>
            <w:pPr>
              <w:spacing w:after="0" w:line="252" w:lineRule="auto"/>
            </w:pPr>
            <w:r>
              <w:rPr>
                <w:rFonts w:ascii="Calibri" w:hAnsi="Calibri" w:eastAsia="Calibri"/>
                <w:b/>
                <w:color w:val="0F172A"/>
                <w:sz w:val="16"/>
              </w:rPr>
              <w:t>Agent containment</w:t>
            </w:r>
          </w:p>
        </w:tc>
        <w:tc>
          <w:tcPr>
            <w:tcW w:type="dxa" w:w="4300"/>
            <w:shd w:fill="F8FAFC"/>
          </w:tcPr>
          <w:p>
            <w:pPr>
              <w:spacing w:after="0" w:line="252" w:lineRule="auto"/>
            </w:pPr>
            <w:r>
              <w:rPr>
                <w:rFonts w:ascii="Calibri" w:hAnsi="Calibri" w:eastAsia="Calibri"/>
                <w:b w:val="0"/>
                <w:color w:val="0F172A"/>
                <w:sz w:val="16"/>
              </w:rPr>
              <w:t>Tool, scope, data and budget violations or prevented attempts</w:t>
            </w:r>
          </w:p>
        </w:tc>
        <w:tc>
          <w:tcPr>
            <w:tcW w:type="dxa" w:w="2860"/>
            <w:shd w:fill="F8FAFC"/>
          </w:tcPr>
          <w:p>
            <w:pPr>
              <w:spacing w:after="0" w:line="252" w:lineRule="auto"/>
            </w:pPr>
            <w:r>
              <w:rPr>
                <w:rFonts w:ascii="Calibri" w:hAnsi="Calibri" w:eastAsia="Calibri"/>
                <w:b w:val="0"/>
                <w:color w:val="0F172A"/>
                <w:sz w:val="16"/>
              </w:rPr>
              <w:t>Control-plane audit</w:t>
            </w:r>
          </w:p>
        </w:tc>
      </w:tr>
      <w:tr>
        <w:tc>
          <w:tcPr>
            <w:tcW w:type="dxa" w:w="2200"/>
          </w:tcPr>
          <w:p>
            <w:pPr>
              <w:spacing w:after="0" w:line="252" w:lineRule="auto"/>
            </w:pPr>
            <w:r>
              <w:rPr>
                <w:rFonts w:ascii="Calibri" w:hAnsi="Calibri" w:eastAsia="Calibri"/>
                <w:b/>
                <w:color w:val="0F172A"/>
                <w:sz w:val="16"/>
              </w:rPr>
              <w:t>Flow and economics</w:t>
            </w:r>
          </w:p>
        </w:tc>
        <w:tc>
          <w:tcPr>
            <w:tcW w:type="dxa" w:w="4300"/>
          </w:tcPr>
          <w:p>
            <w:pPr>
              <w:spacing w:after="0" w:line="252" w:lineRule="auto"/>
            </w:pPr>
            <w:r>
              <w:rPr>
                <w:rFonts w:ascii="Calibri" w:hAnsi="Calibri" w:eastAsia="Calibri"/>
                <w:b w:val="0"/>
                <w:color w:val="0F172A"/>
                <w:sz w:val="16"/>
              </w:rPr>
              <w:t>Cycle time, manual intervention, compute/model cost and test runtime</w:t>
            </w:r>
          </w:p>
        </w:tc>
        <w:tc>
          <w:tcPr>
            <w:tcW w:type="dxa" w:w="2860"/>
          </w:tcPr>
          <w:p>
            <w:pPr>
              <w:spacing w:after="0" w:line="252" w:lineRule="auto"/>
            </w:pPr>
            <w:r>
              <w:rPr>
                <w:rFonts w:ascii="Calibri" w:hAnsi="Calibri" w:eastAsia="Calibri"/>
                <w:b w:val="0"/>
                <w:color w:val="0F172A"/>
                <w:sz w:val="16"/>
              </w:rPr>
              <w:t>Workflow and execution telemetry</w:t>
            </w:r>
          </w:p>
        </w:tc>
      </w:tr>
    </w:tbl>
    <w:p>
      <w:pPr>
        <w:spacing w:before="0" w:after="40"/>
      </w:pPr>
    </w:p>
    <w:p>
      <w:pPr>
        <w:pStyle w:val="Heading2"/>
      </w:pPr>
      <w:r>
        <w:t>Governance operating model</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00"/>
        <w:gridCol w:w="6760"/>
      </w:tblGrid>
      <w:tr>
        <w:trPr>
          <w:tblHeader w:val="true"/>
        </w:trPr>
        <w:tc>
          <w:tcPr>
            <w:tcW w:type="dxa" w:w="26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Role</w:t>
            </w:r>
          </w:p>
        </w:tc>
        <w:tc>
          <w:tcPr>
            <w:tcW w:type="dxa" w:w="67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Accountability</w:t>
            </w:r>
          </w:p>
        </w:tc>
      </w:tr>
      <w:tr>
        <w:tc>
          <w:tcPr>
            <w:tcW w:type="dxa" w:w="2600"/>
          </w:tcPr>
          <w:p>
            <w:pPr>
              <w:spacing w:after="0" w:line="252" w:lineRule="auto"/>
            </w:pPr>
            <w:r>
              <w:rPr>
                <w:rFonts w:ascii="Calibri" w:hAnsi="Calibri" w:eastAsia="Calibri"/>
                <w:b/>
                <w:color w:val="0F172A"/>
                <w:sz w:val="17"/>
              </w:rPr>
              <w:t>Platform architecture council</w:t>
            </w:r>
          </w:p>
        </w:tc>
        <w:tc>
          <w:tcPr>
            <w:tcW w:type="dxa" w:w="6760"/>
          </w:tcPr>
          <w:p>
            <w:pPr>
              <w:spacing w:after="0" w:line="252" w:lineRule="auto"/>
            </w:pPr>
            <w:r>
              <w:rPr>
                <w:rFonts w:ascii="Calibri" w:hAnsi="Calibri" w:eastAsia="Calibri"/>
                <w:b w:val="0"/>
                <w:color w:val="0F172A"/>
                <w:sz w:val="17"/>
              </w:rPr>
              <w:t>Core contracts, ADRs, compatibility and strategic guardrails</w:t>
            </w:r>
          </w:p>
        </w:tc>
      </w:tr>
      <w:tr>
        <w:tc>
          <w:tcPr>
            <w:tcW w:type="dxa" w:w="2600"/>
            <w:shd w:fill="F8FAFC"/>
          </w:tcPr>
          <w:p>
            <w:pPr>
              <w:spacing w:after="0" w:line="252" w:lineRule="auto"/>
            </w:pPr>
            <w:r>
              <w:rPr>
                <w:rFonts w:ascii="Calibri" w:hAnsi="Calibri" w:eastAsia="Calibri"/>
                <w:b/>
                <w:color w:val="0F172A"/>
                <w:sz w:val="17"/>
              </w:rPr>
              <w:t>Ontology and identity stewardship</w:t>
            </w:r>
          </w:p>
        </w:tc>
        <w:tc>
          <w:tcPr>
            <w:tcW w:type="dxa" w:w="6760"/>
            <w:shd w:fill="F8FAFC"/>
          </w:tcPr>
          <w:p>
            <w:pPr>
              <w:spacing w:after="0" w:line="252" w:lineRule="auto"/>
            </w:pPr>
            <w:r>
              <w:rPr>
                <w:rFonts w:ascii="Calibri" w:hAnsi="Calibri" w:eastAsia="Calibri"/>
                <w:b w:val="0"/>
                <w:color w:val="0F172A"/>
                <w:sz w:val="17"/>
              </w:rPr>
              <w:t>Canonical semantics, extension-package review and entity resolution</w:t>
            </w:r>
          </w:p>
        </w:tc>
      </w:tr>
      <w:tr>
        <w:tc>
          <w:tcPr>
            <w:tcW w:type="dxa" w:w="2600"/>
          </w:tcPr>
          <w:p>
            <w:pPr>
              <w:spacing w:after="0" w:line="252" w:lineRule="auto"/>
            </w:pPr>
            <w:r>
              <w:rPr>
                <w:rFonts w:ascii="Calibri" w:hAnsi="Calibri" w:eastAsia="Calibri"/>
                <w:b/>
                <w:color w:val="0F172A"/>
                <w:sz w:val="17"/>
              </w:rPr>
              <w:t>Provider owners</w:t>
            </w:r>
          </w:p>
        </w:tc>
        <w:tc>
          <w:tcPr>
            <w:tcW w:type="dxa" w:w="6760"/>
          </w:tcPr>
          <w:p>
            <w:pPr>
              <w:spacing w:after="0" w:line="252" w:lineRule="auto"/>
            </w:pPr>
            <w:r>
              <w:rPr>
                <w:rFonts w:ascii="Calibri" w:hAnsi="Calibri" w:eastAsia="Calibri"/>
                <w:b w:val="0"/>
                <w:color w:val="0F172A"/>
                <w:sz w:val="17"/>
              </w:rPr>
              <w:t>Capability quality, conformance, security posture, support and lifecycle</w:t>
            </w:r>
          </w:p>
        </w:tc>
      </w:tr>
      <w:tr>
        <w:tc>
          <w:tcPr>
            <w:tcW w:type="dxa" w:w="2600"/>
            <w:shd w:fill="F8FAFC"/>
          </w:tcPr>
          <w:p>
            <w:pPr>
              <w:spacing w:after="0" w:line="252" w:lineRule="auto"/>
            </w:pPr>
            <w:r>
              <w:rPr>
                <w:rFonts w:ascii="Calibri" w:hAnsi="Calibri" w:eastAsia="Calibri"/>
                <w:b/>
                <w:color w:val="0F172A"/>
                <w:sz w:val="17"/>
              </w:rPr>
              <w:t>Policy owners</w:t>
            </w:r>
          </w:p>
        </w:tc>
        <w:tc>
          <w:tcPr>
            <w:tcW w:type="dxa" w:w="6760"/>
            <w:shd w:fill="F8FAFC"/>
          </w:tcPr>
          <w:p>
            <w:pPr>
              <w:spacing w:after="0" w:line="252" w:lineRule="auto"/>
            </w:pPr>
            <w:r>
              <w:rPr>
                <w:rFonts w:ascii="Calibri" w:hAnsi="Calibri" w:eastAsia="Calibri"/>
                <w:b w:val="0"/>
                <w:color w:val="0F172A"/>
                <w:sz w:val="17"/>
              </w:rPr>
              <w:t>Risk thresholds, regulated controls, human authority and exception handling</w:t>
            </w:r>
          </w:p>
        </w:tc>
      </w:tr>
      <w:tr>
        <w:tc>
          <w:tcPr>
            <w:tcW w:type="dxa" w:w="2600"/>
          </w:tcPr>
          <w:p>
            <w:pPr>
              <w:spacing w:after="0" w:line="252" w:lineRule="auto"/>
            </w:pPr>
            <w:r>
              <w:rPr>
                <w:rFonts w:ascii="Calibri" w:hAnsi="Calibri" w:eastAsia="Calibri"/>
                <w:b/>
                <w:color w:val="0F172A"/>
                <w:sz w:val="17"/>
              </w:rPr>
              <w:t>Evaluation and model risk</w:t>
            </w:r>
          </w:p>
        </w:tc>
        <w:tc>
          <w:tcPr>
            <w:tcW w:type="dxa" w:w="6760"/>
          </w:tcPr>
          <w:p>
            <w:pPr>
              <w:spacing w:after="0" w:line="252" w:lineRule="auto"/>
            </w:pPr>
            <w:r>
              <w:rPr>
                <w:rFonts w:ascii="Calibri" w:hAnsi="Calibri" w:eastAsia="Calibri"/>
                <w:b w:val="0"/>
                <w:color w:val="0F172A"/>
                <w:sz w:val="17"/>
              </w:rPr>
              <w:t>Datasets, metrics, bias/leakage checks, champion/challenger decisions</w:t>
            </w:r>
          </w:p>
        </w:tc>
      </w:tr>
      <w:tr>
        <w:tc>
          <w:tcPr>
            <w:tcW w:type="dxa" w:w="2600"/>
            <w:shd w:fill="F8FAFC"/>
          </w:tcPr>
          <w:p>
            <w:pPr>
              <w:spacing w:after="0" w:line="252" w:lineRule="auto"/>
            </w:pPr>
            <w:r>
              <w:rPr>
                <w:rFonts w:ascii="Calibri" w:hAnsi="Calibri" w:eastAsia="Calibri"/>
                <w:b/>
                <w:color w:val="0F172A"/>
                <w:sz w:val="17"/>
              </w:rPr>
              <w:t>Platform SRE and security</w:t>
            </w:r>
          </w:p>
        </w:tc>
        <w:tc>
          <w:tcPr>
            <w:tcW w:type="dxa" w:w="6760"/>
            <w:shd w:fill="F8FAFC"/>
          </w:tcPr>
          <w:p>
            <w:pPr>
              <w:spacing w:after="0" w:line="252" w:lineRule="auto"/>
            </w:pPr>
            <w:r>
              <w:rPr>
                <w:rFonts w:ascii="Calibri" w:hAnsi="Calibri" w:eastAsia="Calibri"/>
                <w:b w:val="0"/>
                <w:color w:val="0F172A"/>
                <w:sz w:val="17"/>
              </w:rPr>
              <w:t>Availability, isolation, incident response, supply chain and observability</w:t>
            </w:r>
          </w:p>
        </w:tc>
      </w:tr>
      <w:tr>
        <w:tc>
          <w:tcPr>
            <w:tcW w:type="dxa" w:w="2600"/>
          </w:tcPr>
          <w:p>
            <w:pPr>
              <w:spacing w:after="0" w:line="252" w:lineRule="auto"/>
            </w:pPr>
            <w:r>
              <w:rPr>
                <w:rFonts w:ascii="Calibri" w:hAnsi="Calibri" w:eastAsia="Calibri"/>
                <w:b/>
                <w:color w:val="0F172A"/>
                <w:sz w:val="17"/>
              </w:rPr>
              <w:t>Client administrators</w:t>
            </w:r>
          </w:p>
        </w:tc>
        <w:tc>
          <w:tcPr>
            <w:tcW w:type="dxa" w:w="6760"/>
          </w:tcPr>
          <w:p>
            <w:pPr>
              <w:spacing w:after="0" w:line="252" w:lineRule="auto"/>
            </w:pPr>
            <w:r>
              <w:rPr>
                <w:rFonts w:ascii="Calibri" w:hAnsi="Calibri" w:eastAsia="Calibri"/>
                <w:b w:val="0"/>
                <w:color w:val="0F172A"/>
                <w:sz w:val="17"/>
              </w:rPr>
              <w:t>Project configuration, provider activation, policy selection and access</w:t>
            </w:r>
          </w:p>
        </w:tc>
      </w:tr>
    </w:tbl>
    <w:p>
      <w:pPr>
        <w:spacing w:before="0" w:after="40"/>
      </w:pPr>
    </w:p>
    <w:p>
      <w:r>
        <w:br w:type="page"/>
      </w:r>
    </w:p>
    <w:p>
      <w:pPr>
        <w:spacing w:after="80"/>
        <w:ind w:left="0" w:firstLine="0"/>
        <w:jc w:val="left"/>
      </w:pPr>
      <w:r>
        <w:rPr>
          <w:rFonts w:ascii="Calibri" w:hAnsi="Calibri" w:eastAsia="Calibri"/>
          <w:b/>
          <w:color w:val="0F766E"/>
          <w:sz w:val="19"/>
        </w:rPr>
        <w:t>11 | QUALITY ATTRIBUTES AND ARCHITECTURE DECISIONS</w:t>
      </w:r>
    </w:p>
    <w:p>
      <w:pPr>
        <w:pStyle w:val="Heading1"/>
      </w:pPr>
      <w:r>
        <w:t>Target quality attributes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460"/>
      </w:tblGrid>
      <w:tr>
        <w:trPr>
          <w:tblHeader w:val="true"/>
        </w:trPr>
        <w:tc>
          <w:tcPr>
            <w:tcW w:type="dxa" w:w="19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Attribute</w:t>
            </w:r>
          </w:p>
        </w:tc>
        <w:tc>
          <w:tcPr>
            <w:tcW w:type="dxa" w:w="74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Design response</w:t>
            </w:r>
          </w:p>
        </w:tc>
      </w:tr>
      <w:tr>
        <w:tc>
          <w:tcPr>
            <w:tcW w:type="dxa" w:w="1900"/>
          </w:tcPr>
          <w:p>
            <w:pPr>
              <w:spacing w:after="0" w:line="252" w:lineRule="auto"/>
            </w:pPr>
            <w:r>
              <w:rPr>
                <w:rFonts w:ascii="Calibri" w:hAnsi="Calibri" w:eastAsia="Calibri"/>
                <w:b/>
                <w:color w:val="0F172A"/>
                <w:sz w:val="17"/>
              </w:rPr>
              <w:t>Reproducibility</w:t>
            </w:r>
          </w:p>
        </w:tc>
        <w:tc>
          <w:tcPr>
            <w:tcW w:type="dxa" w:w="7460"/>
          </w:tcPr>
          <w:p>
            <w:pPr>
              <w:spacing w:after="0" w:line="252" w:lineRule="auto"/>
            </w:pPr>
            <w:r>
              <w:rPr>
                <w:rFonts w:ascii="Calibri" w:hAnsi="Calibri" w:eastAsia="Calibri"/>
                <w:b w:val="0"/>
                <w:color w:val="0F172A"/>
                <w:sz w:val="17"/>
              </w:rPr>
              <w:t>Every assessment and decision can be replayed from immutable scope, snapshot, algorithm and policy versions.</w:t>
            </w:r>
          </w:p>
        </w:tc>
      </w:tr>
      <w:tr>
        <w:tc>
          <w:tcPr>
            <w:tcW w:type="dxa" w:w="1900"/>
            <w:shd w:fill="F8FAFC"/>
          </w:tcPr>
          <w:p>
            <w:pPr>
              <w:spacing w:after="0" w:line="252" w:lineRule="auto"/>
            </w:pPr>
            <w:r>
              <w:rPr>
                <w:rFonts w:ascii="Calibri" w:hAnsi="Calibri" w:eastAsia="Calibri"/>
                <w:b/>
                <w:color w:val="0F172A"/>
                <w:sz w:val="17"/>
              </w:rPr>
              <w:t>Tenant isolation</w:t>
            </w:r>
          </w:p>
        </w:tc>
        <w:tc>
          <w:tcPr>
            <w:tcW w:type="dxa" w:w="7460"/>
            <w:shd w:fill="F8FAFC"/>
          </w:tcPr>
          <w:p>
            <w:pPr>
              <w:spacing w:after="0" w:line="252" w:lineRule="auto"/>
            </w:pPr>
            <w:r>
              <w:rPr>
                <w:rFonts w:ascii="Calibri" w:hAnsi="Calibri" w:eastAsia="Calibri"/>
                <w:b w:val="0"/>
                <w:color w:val="0F172A"/>
                <w:sz w:val="17"/>
              </w:rPr>
              <w:t>All identities, storage, queries, jobs, telemetry and learned artifacts are tenant/project scoped by construction.</w:t>
            </w:r>
          </w:p>
        </w:tc>
      </w:tr>
      <w:tr>
        <w:tc>
          <w:tcPr>
            <w:tcW w:type="dxa" w:w="1900"/>
          </w:tcPr>
          <w:p>
            <w:pPr>
              <w:spacing w:after="0" w:line="252" w:lineRule="auto"/>
            </w:pPr>
            <w:r>
              <w:rPr>
                <w:rFonts w:ascii="Calibri" w:hAnsi="Calibri" w:eastAsia="Calibri"/>
                <w:b/>
                <w:color w:val="0F172A"/>
                <w:sz w:val="17"/>
              </w:rPr>
              <w:t>Availability</w:t>
            </w:r>
          </w:p>
        </w:tc>
        <w:tc>
          <w:tcPr>
            <w:tcW w:type="dxa" w:w="7460"/>
          </w:tcPr>
          <w:p>
            <w:pPr>
              <w:spacing w:after="0" w:line="252" w:lineRule="auto"/>
            </w:pPr>
            <w:r>
              <w:rPr>
                <w:rFonts w:ascii="Calibri" w:hAnsi="Calibri" w:eastAsia="Calibri"/>
                <w:b w:val="0"/>
                <w:color w:val="0F172A"/>
                <w:sz w:val="17"/>
              </w:rPr>
              <w:t>Query and decision services degrade predictably; asynchronous snapshot builds do not corrupt active context.</w:t>
            </w:r>
          </w:p>
        </w:tc>
      </w:tr>
      <w:tr>
        <w:tc>
          <w:tcPr>
            <w:tcW w:type="dxa" w:w="1900"/>
            <w:shd w:fill="F8FAFC"/>
          </w:tcPr>
          <w:p>
            <w:pPr>
              <w:spacing w:after="0" w:line="252" w:lineRule="auto"/>
            </w:pPr>
            <w:r>
              <w:rPr>
                <w:rFonts w:ascii="Calibri" w:hAnsi="Calibri" w:eastAsia="Calibri"/>
                <w:b/>
                <w:color w:val="0F172A"/>
                <w:sz w:val="17"/>
              </w:rPr>
              <w:t>Scalability</w:t>
            </w:r>
          </w:p>
        </w:tc>
        <w:tc>
          <w:tcPr>
            <w:tcW w:type="dxa" w:w="7460"/>
            <w:shd w:fill="F8FAFC"/>
          </w:tcPr>
          <w:p>
            <w:pPr>
              <w:spacing w:after="0" w:line="252" w:lineRule="auto"/>
            </w:pPr>
            <w:r>
              <w:rPr>
                <w:rFonts w:ascii="Calibri" w:hAnsi="Calibri" w:eastAsia="Calibri"/>
                <w:b w:val="0"/>
                <w:color w:val="0F172A"/>
                <w:sz w:val="17"/>
              </w:rPr>
              <w:t>Incremental providers, partitioned snapshots, bounded traversals, materialized projections and asynchronous long-running analysis.</w:t>
            </w:r>
          </w:p>
        </w:tc>
      </w:tr>
      <w:tr>
        <w:tc>
          <w:tcPr>
            <w:tcW w:type="dxa" w:w="1900"/>
          </w:tcPr>
          <w:p>
            <w:pPr>
              <w:spacing w:after="0" w:line="252" w:lineRule="auto"/>
            </w:pPr>
            <w:r>
              <w:rPr>
                <w:rFonts w:ascii="Calibri" w:hAnsi="Calibri" w:eastAsia="Calibri"/>
                <w:b/>
                <w:color w:val="0F172A"/>
                <w:sz w:val="17"/>
              </w:rPr>
              <w:t>Interoperability</w:t>
            </w:r>
          </w:p>
        </w:tc>
        <w:tc>
          <w:tcPr>
            <w:tcW w:type="dxa" w:w="7460"/>
          </w:tcPr>
          <w:p>
            <w:pPr>
              <w:spacing w:after="0" w:line="252" w:lineRule="auto"/>
            </w:pPr>
            <w:r>
              <w:rPr>
                <w:rFonts w:ascii="Calibri" w:hAnsi="Calibri" w:eastAsia="Calibri"/>
                <w:b w:val="0"/>
                <w:color w:val="0F172A"/>
                <w:sz w:val="17"/>
              </w:rPr>
              <w:t>Versioned APIs/events, provider SDKs, standard evidence envelopes and backward-compatible capability negotiation.</w:t>
            </w:r>
          </w:p>
        </w:tc>
      </w:tr>
      <w:tr>
        <w:tc>
          <w:tcPr>
            <w:tcW w:type="dxa" w:w="1900"/>
            <w:shd w:fill="F8FAFC"/>
          </w:tcPr>
          <w:p>
            <w:pPr>
              <w:spacing w:after="0" w:line="252" w:lineRule="auto"/>
            </w:pPr>
            <w:r>
              <w:rPr>
                <w:rFonts w:ascii="Calibri" w:hAnsi="Calibri" w:eastAsia="Calibri"/>
                <w:b/>
                <w:color w:val="0F172A"/>
                <w:sz w:val="17"/>
              </w:rPr>
              <w:t>Observability</w:t>
            </w:r>
          </w:p>
        </w:tc>
        <w:tc>
          <w:tcPr>
            <w:tcW w:type="dxa" w:w="7460"/>
            <w:shd w:fill="F8FAFC"/>
          </w:tcPr>
          <w:p>
            <w:pPr>
              <w:spacing w:after="0" w:line="252" w:lineRule="auto"/>
            </w:pPr>
            <w:r>
              <w:rPr>
                <w:rFonts w:ascii="Calibri" w:hAnsi="Calibri" w:eastAsia="Calibri"/>
                <w:b w:val="0"/>
                <w:color w:val="0F172A"/>
                <w:sz w:val="17"/>
              </w:rPr>
              <w:t>End-to-end correlation across workflow, provider, model, tool, snapshot, evidence and policy decision.</w:t>
            </w:r>
          </w:p>
        </w:tc>
      </w:tr>
      <w:tr>
        <w:tc>
          <w:tcPr>
            <w:tcW w:type="dxa" w:w="1900"/>
          </w:tcPr>
          <w:p>
            <w:pPr>
              <w:spacing w:after="0" w:line="252" w:lineRule="auto"/>
            </w:pPr>
            <w:r>
              <w:rPr>
                <w:rFonts w:ascii="Calibri" w:hAnsi="Calibri" w:eastAsia="Calibri"/>
                <w:b/>
                <w:color w:val="0F172A"/>
                <w:sz w:val="17"/>
              </w:rPr>
              <w:t>Portability</w:t>
            </w:r>
          </w:p>
        </w:tc>
        <w:tc>
          <w:tcPr>
            <w:tcW w:type="dxa" w:w="7460"/>
          </w:tcPr>
          <w:p>
            <w:pPr>
              <w:spacing w:after="0" w:line="252" w:lineRule="auto"/>
            </w:pPr>
            <w:r>
              <w:rPr>
                <w:rFonts w:ascii="Calibri" w:hAnsi="Calibri" w:eastAsia="Calibri"/>
                <w:b w:val="0"/>
                <w:color w:val="0F172A"/>
                <w:sz w:val="17"/>
              </w:rPr>
              <w:t>Storage, model, agent, runner and deployment implementations remain replaceable.</w:t>
            </w:r>
          </w:p>
        </w:tc>
      </w:tr>
      <w:tr>
        <w:tc>
          <w:tcPr>
            <w:tcW w:type="dxa" w:w="1900"/>
            <w:shd w:fill="F8FAFC"/>
          </w:tcPr>
          <w:p>
            <w:pPr>
              <w:spacing w:after="0" w:line="252" w:lineRule="auto"/>
            </w:pPr>
            <w:r>
              <w:rPr>
                <w:rFonts w:ascii="Calibri" w:hAnsi="Calibri" w:eastAsia="Calibri"/>
                <w:b/>
                <w:color w:val="0F172A"/>
                <w:sz w:val="17"/>
              </w:rPr>
              <w:t>Resilience</w:t>
            </w:r>
          </w:p>
        </w:tc>
        <w:tc>
          <w:tcPr>
            <w:tcW w:type="dxa" w:w="7460"/>
            <w:shd w:fill="F8FAFC"/>
          </w:tcPr>
          <w:p>
            <w:pPr>
              <w:spacing w:after="0" w:line="252" w:lineRule="auto"/>
            </w:pPr>
            <w:r>
              <w:rPr>
                <w:rFonts w:ascii="Calibri" w:hAnsi="Calibri" w:eastAsia="Calibri"/>
                <w:b w:val="0"/>
                <w:color w:val="0F172A"/>
                <w:sz w:val="17"/>
              </w:rPr>
              <w:t>Idempotent work orders, checkpointed orchestration, retry policies, compensating cleanup and signed replay.</w:t>
            </w:r>
          </w:p>
        </w:tc>
      </w:tr>
      <w:tr>
        <w:tc>
          <w:tcPr>
            <w:tcW w:type="dxa" w:w="1900"/>
          </w:tcPr>
          <w:p>
            <w:pPr>
              <w:spacing w:after="0" w:line="252" w:lineRule="auto"/>
            </w:pPr>
            <w:r>
              <w:rPr>
                <w:rFonts w:ascii="Calibri" w:hAnsi="Calibri" w:eastAsia="Calibri"/>
                <w:b/>
                <w:color w:val="0F172A"/>
                <w:sz w:val="17"/>
              </w:rPr>
              <w:t>Cost governance</w:t>
            </w:r>
          </w:p>
        </w:tc>
        <w:tc>
          <w:tcPr>
            <w:tcW w:type="dxa" w:w="7460"/>
          </w:tcPr>
          <w:p>
            <w:pPr>
              <w:spacing w:after="0" w:line="252" w:lineRule="auto"/>
            </w:pPr>
            <w:r>
              <w:rPr>
                <w:rFonts w:ascii="Calibri" w:hAnsi="Calibri" w:eastAsia="Calibri"/>
                <w:b w:val="0"/>
                <w:color w:val="0F172A"/>
                <w:sz w:val="17"/>
              </w:rPr>
              <w:t>Per-project budgets, model/tool quotas, caching, test portfolio optimization and showback.</w:t>
            </w:r>
          </w:p>
        </w:tc>
      </w:tr>
    </w:tbl>
    <w:p>
      <w:pPr>
        <w:spacing w:before="0" w:after="40"/>
      </w:pPr>
    </w:p>
    <w:p>
      <w:pPr>
        <w:pStyle w:val="Heading2"/>
      </w:pPr>
      <w:r>
        <w:t>Foundational architecture decisions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3100"/>
        <w:gridCol w:w="4960"/>
      </w:tblGrid>
      <w:tr>
        <w:trPr>
          <w:tblHeader w:val="true"/>
        </w:trPr>
        <w:tc>
          <w:tcPr>
            <w:tcW w:type="dxa" w:w="13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Decision</w:t>
            </w:r>
          </w:p>
        </w:tc>
        <w:tc>
          <w:tcPr>
            <w:tcW w:type="dxa" w:w="31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Position</w:t>
            </w:r>
          </w:p>
        </w:tc>
        <w:tc>
          <w:tcPr>
            <w:tcW w:type="dxa" w:w="49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Why it matters</w:t>
            </w:r>
          </w:p>
        </w:tc>
      </w:tr>
      <w:tr>
        <w:tc>
          <w:tcPr>
            <w:tcW w:type="dxa" w:w="1300"/>
          </w:tcPr>
          <w:p>
            <w:pPr>
              <w:spacing w:after="0" w:line="252" w:lineRule="auto"/>
            </w:pPr>
            <w:r>
              <w:rPr>
                <w:rFonts w:ascii="Calibri" w:hAnsi="Calibri" w:eastAsia="Calibri"/>
                <w:b/>
                <w:color w:val="0F172A"/>
                <w:sz w:val="16"/>
              </w:rPr>
              <w:t>ADR-001</w:t>
            </w:r>
          </w:p>
        </w:tc>
        <w:tc>
          <w:tcPr>
            <w:tcW w:type="dxa" w:w="3100"/>
          </w:tcPr>
          <w:p>
            <w:pPr>
              <w:spacing w:after="0" w:line="252" w:lineRule="auto"/>
            </w:pPr>
            <w:r>
              <w:rPr>
                <w:rFonts w:ascii="Calibri" w:hAnsi="Calibri" w:eastAsia="Calibri"/>
                <w:b w:val="0"/>
                <w:color w:val="0F172A"/>
                <w:sz w:val="16"/>
              </w:rPr>
              <w:t>Context fabric over monolithic graph</w:t>
            </w:r>
          </w:p>
        </w:tc>
        <w:tc>
          <w:tcPr>
            <w:tcW w:type="dxa" w:w="4960"/>
          </w:tcPr>
          <w:p>
            <w:pPr>
              <w:spacing w:after="0" w:line="252" w:lineRule="auto"/>
            </w:pPr>
            <w:r>
              <w:rPr>
                <w:rFonts w:ascii="Calibri" w:hAnsi="Calibri" w:eastAsia="Calibri"/>
                <w:b w:val="0"/>
                <w:color w:val="0F172A"/>
                <w:sz w:val="16"/>
              </w:rPr>
              <w:t>Use one semantic contract with fit-for-purpose ledger, graph, retrieval, object and analytical projections.</w:t>
            </w:r>
          </w:p>
        </w:tc>
      </w:tr>
      <w:tr>
        <w:tc>
          <w:tcPr>
            <w:tcW w:type="dxa" w:w="1300"/>
            <w:shd w:fill="F8FAFC"/>
          </w:tcPr>
          <w:p>
            <w:pPr>
              <w:spacing w:after="0" w:line="252" w:lineRule="auto"/>
            </w:pPr>
            <w:r>
              <w:rPr>
                <w:rFonts w:ascii="Calibri" w:hAnsi="Calibri" w:eastAsia="Calibri"/>
                <w:b/>
                <w:color w:val="0F172A"/>
                <w:sz w:val="16"/>
              </w:rPr>
              <w:t>ADR-002</w:t>
            </w:r>
          </w:p>
        </w:tc>
        <w:tc>
          <w:tcPr>
            <w:tcW w:type="dxa" w:w="3100"/>
            <w:shd w:fill="F8FAFC"/>
          </w:tcPr>
          <w:p>
            <w:pPr>
              <w:spacing w:after="0" w:line="252" w:lineRule="auto"/>
            </w:pPr>
            <w:r>
              <w:rPr>
                <w:rFonts w:ascii="Calibri" w:hAnsi="Calibri" w:eastAsia="Calibri"/>
                <w:b w:val="0"/>
                <w:color w:val="0F172A"/>
                <w:sz w:val="16"/>
              </w:rPr>
              <w:t>Bitemporal immutable assertions</w:t>
            </w:r>
          </w:p>
        </w:tc>
        <w:tc>
          <w:tcPr>
            <w:tcW w:type="dxa" w:w="4960"/>
            <w:shd w:fill="F8FAFC"/>
          </w:tcPr>
          <w:p>
            <w:pPr>
              <w:spacing w:after="0" w:line="252" w:lineRule="auto"/>
            </w:pPr>
            <w:r>
              <w:rPr>
                <w:rFonts w:ascii="Calibri" w:hAnsi="Calibri" w:eastAsia="Calibri"/>
                <w:b w:val="0"/>
                <w:color w:val="0F172A"/>
                <w:sz w:val="16"/>
              </w:rPr>
              <w:t>Preserve historical truth and enable as-of-source and as-of-observation queries.</w:t>
            </w:r>
          </w:p>
        </w:tc>
      </w:tr>
      <w:tr>
        <w:tc>
          <w:tcPr>
            <w:tcW w:type="dxa" w:w="1300"/>
          </w:tcPr>
          <w:p>
            <w:pPr>
              <w:spacing w:after="0" w:line="252" w:lineRule="auto"/>
            </w:pPr>
            <w:r>
              <w:rPr>
                <w:rFonts w:ascii="Calibri" w:hAnsi="Calibri" w:eastAsia="Calibri"/>
                <w:b/>
                <w:color w:val="0F172A"/>
                <w:sz w:val="16"/>
              </w:rPr>
              <w:t>ADR-003</w:t>
            </w:r>
          </w:p>
        </w:tc>
        <w:tc>
          <w:tcPr>
            <w:tcW w:type="dxa" w:w="3100"/>
          </w:tcPr>
          <w:p>
            <w:pPr>
              <w:spacing w:after="0" w:line="252" w:lineRule="auto"/>
            </w:pPr>
            <w:r>
              <w:rPr>
                <w:rFonts w:ascii="Calibri" w:hAnsi="Calibri" w:eastAsia="Calibri"/>
                <w:b w:val="0"/>
                <w:color w:val="0F172A"/>
                <w:sz w:val="16"/>
              </w:rPr>
              <w:t>Build-and-activate snapshots</w:t>
            </w:r>
          </w:p>
        </w:tc>
        <w:tc>
          <w:tcPr>
            <w:tcW w:type="dxa" w:w="4960"/>
          </w:tcPr>
          <w:p>
            <w:pPr>
              <w:spacing w:after="0" w:line="252" w:lineRule="auto"/>
            </w:pPr>
            <w:r>
              <w:rPr>
                <w:rFonts w:ascii="Calibri" w:hAnsi="Calibri" w:eastAsia="Calibri"/>
                <w:b w:val="0"/>
                <w:color w:val="0F172A"/>
                <w:sz w:val="16"/>
              </w:rPr>
              <w:t>Prevent partial state and make every consumer revision-consistent.</w:t>
            </w:r>
          </w:p>
        </w:tc>
      </w:tr>
      <w:tr>
        <w:tc>
          <w:tcPr>
            <w:tcW w:type="dxa" w:w="1300"/>
            <w:shd w:fill="F8FAFC"/>
          </w:tcPr>
          <w:p>
            <w:pPr>
              <w:spacing w:after="0" w:line="252" w:lineRule="auto"/>
            </w:pPr>
            <w:r>
              <w:rPr>
                <w:rFonts w:ascii="Calibri" w:hAnsi="Calibri" w:eastAsia="Calibri"/>
                <w:b/>
                <w:color w:val="0F172A"/>
                <w:sz w:val="16"/>
              </w:rPr>
              <w:t>ADR-004</w:t>
            </w:r>
          </w:p>
        </w:tc>
        <w:tc>
          <w:tcPr>
            <w:tcW w:type="dxa" w:w="3100"/>
            <w:shd w:fill="F8FAFC"/>
          </w:tcPr>
          <w:p>
            <w:pPr>
              <w:spacing w:after="0" w:line="252" w:lineRule="auto"/>
            </w:pPr>
            <w:r>
              <w:rPr>
                <w:rFonts w:ascii="Calibri" w:hAnsi="Calibri" w:eastAsia="Calibri"/>
                <w:b w:val="0"/>
                <w:color w:val="0F172A"/>
                <w:sz w:val="16"/>
              </w:rPr>
              <w:t>Canonical Impact Assessment</w:t>
            </w:r>
          </w:p>
        </w:tc>
        <w:tc>
          <w:tcPr>
            <w:tcW w:type="dxa" w:w="4960"/>
            <w:shd w:fill="F8FAFC"/>
          </w:tcPr>
          <w:p>
            <w:pPr>
              <w:spacing w:after="0" w:line="252" w:lineRule="auto"/>
            </w:pPr>
            <w:r>
              <w:rPr>
                <w:rFonts w:ascii="Calibri" w:hAnsi="Calibri" w:eastAsia="Calibri"/>
                <w:b w:val="0"/>
                <w:color w:val="0F172A"/>
                <w:sz w:val="16"/>
              </w:rPr>
              <w:t>Eliminate divergent blast-radius logic across lifecycle stages.</w:t>
            </w:r>
          </w:p>
        </w:tc>
      </w:tr>
      <w:tr>
        <w:tc>
          <w:tcPr>
            <w:tcW w:type="dxa" w:w="1300"/>
          </w:tcPr>
          <w:p>
            <w:pPr>
              <w:spacing w:after="0" w:line="252" w:lineRule="auto"/>
            </w:pPr>
            <w:r>
              <w:rPr>
                <w:rFonts w:ascii="Calibri" w:hAnsi="Calibri" w:eastAsia="Calibri"/>
                <w:b/>
                <w:color w:val="0F172A"/>
                <w:sz w:val="16"/>
              </w:rPr>
              <w:t>ADR-005</w:t>
            </w:r>
          </w:p>
        </w:tc>
        <w:tc>
          <w:tcPr>
            <w:tcW w:type="dxa" w:w="3100"/>
          </w:tcPr>
          <w:p>
            <w:pPr>
              <w:spacing w:after="0" w:line="252" w:lineRule="auto"/>
            </w:pPr>
            <w:r>
              <w:rPr>
                <w:rFonts w:ascii="Calibri" w:hAnsi="Calibri" w:eastAsia="Calibri"/>
                <w:b w:val="0"/>
                <w:color w:val="0F172A"/>
                <w:sz w:val="16"/>
              </w:rPr>
              <w:t>Behavioral provider capabilities</w:t>
            </w:r>
          </w:p>
        </w:tc>
        <w:tc>
          <w:tcPr>
            <w:tcW w:type="dxa" w:w="4960"/>
          </w:tcPr>
          <w:p>
            <w:pPr>
              <w:spacing w:after="0" w:line="252" w:lineRule="auto"/>
            </w:pPr>
            <w:r>
              <w:rPr>
                <w:rFonts w:ascii="Calibri" w:hAnsi="Calibri" w:eastAsia="Calibri"/>
                <w:b w:val="0"/>
                <w:color w:val="0F172A"/>
                <w:sz w:val="16"/>
              </w:rPr>
              <w:t>Support client extension without core changes or semantic ambiguity.</w:t>
            </w:r>
          </w:p>
        </w:tc>
      </w:tr>
      <w:tr>
        <w:tc>
          <w:tcPr>
            <w:tcW w:type="dxa" w:w="1300"/>
            <w:shd w:fill="F8FAFC"/>
          </w:tcPr>
          <w:p>
            <w:pPr>
              <w:spacing w:after="0" w:line="252" w:lineRule="auto"/>
            </w:pPr>
            <w:r>
              <w:rPr>
                <w:rFonts w:ascii="Calibri" w:hAnsi="Calibri" w:eastAsia="Calibri"/>
                <w:b/>
                <w:color w:val="0F172A"/>
                <w:sz w:val="16"/>
              </w:rPr>
              <w:t>ADR-006</w:t>
            </w:r>
          </w:p>
        </w:tc>
        <w:tc>
          <w:tcPr>
            <w:tcW w:type="dxa" w:w="3100"/>
            <w:shd w:fill="F8FAFC"/>
          </w:tcPr>
          <w:p>
            <w:pPr>
              <w:spacing w:after="0" w:line="252" w:lineRule="auto"/>
            </w:pPr>
            <w:r>
              <w:rPr>
                <w:rFonts w:ascii="Calibri" w:hAnsi="Calibri" w:eastAsia="Calibri"/>
                <w:b w:val="0"/>
                <w:color w:val="0F172A"/>
                <w:sz w:val="16"/>
              </w:rPr>
              <w:t>Policy as a versioned decision artifact</w:t>
            </w:r>
          </w:p>
        </w:tc>
        <w:tc>
          <w:tcPr>
            <w:tcW w:type="dxa" w:w="4960"/>
            <w:shd w:fill="F8FAFC"/>
          </w:tcPr>
          <w:p>
            <w:pPr>
              <w:spacing w:after="0" w:line="252" w:lineRule="auto"/>
            </w:pPr>
            <w:r>
              <w:rPr>
                <w:rFonts w:ascii="Calibri" w:hAnsi="Calibri" w:eastAsia="Calibri"/>
                <w:b w:val="0"/>
                <w:color w:val="0F172A"/>
                <w:sz w:val="16"/>
              </w:rPr>
              <w:t>Separate agent reasoning from organizational authority.</w:t>
            </w:r>
          </w:p>
        </w:tc>
      </w:tr>
      <w:tr>
        <w:tc>
          <w:tcPr>
            <w:tcW w:type="dxa" w:w="1300"/>
          </w:tcPr>
          <w:p>
            <w:pPr>
              <w:spacing w:after="0" w:line="252" w:lineRule="auto"/>
            </w:pPr>
            <w:r>
              <w:rPr>
                <w:rFonts w:ascii="Calibri" w:hAnsi="Calibri" w:eastAsia="Calibri"/>
                <w:b/>
                <w:color w:val="0F172A"/>
                <w:sz w:val="16"/>
              </w:rPr>
              <w:t>ADR-007</w:t>
            </w:r>
          </w:p>
        </w:tc>
        <w:tc>
          <w:tcPr>
            <w:tcW w:type="dxa" w:w="3100"/>
          </w:tcPr>
          <w:p>
            <w:pPr>
              <w:spacing w:after="0" w:line="252" w:lineRule="auto"/>
            </w:pPr>
            <w:r>
              <w:rPr>
                <w:rFonts w:ascii="Calibri" w:hAnsi="Calibri" w:eastAsia="Calibri"/>
                <w:b w:val="0"/>
                <w:color w:val="0F172A"/>
                <w:sz w:val="16"/>
              </w:rPr>
              <w:t>Hybrid execution plane</w:t>
            </w:r>
          </w:p>
        </w:tc>
        <w:tc>
          <w:tcPr>
            <w:tcW w:type="dxa" w:w="4960"/>
          </w:tcPr>
          <w:p>
            <w:pPr>
              <w:spacing w:after="0" w:line="252" w:lineRule="auto"/>
            </w:pPr>
            <w:r>
              <w:rPr>
                <w:rFonts w:ascii="Calibri" w:hAnsi="Calibri" w:eastAsia="Calibri"/>
                <w:b w:val="0"/>
                <w:color w:val="0F172A"/>
                <w:sz w:val="16"/>
              </w:rPr>
              <w:t>Keep sensitive client assets in the client trust boundary.</w:t>
            </w:r>
          </w:p>
        </w:tc>
      </w:tr>
      <w:tr>
        <w:tc>
          <w:tcPr>
            <w:tcW w:type="dxa" w:w="1300"/>
            <w:shd w:fill="F8FAFC"/>
          </w:tcPr>
          <w:p>
            <w:pPr>
              <w:spacing w:after="0" w:line="252" w:lineRule="auto"/>
            </w:pPr>
            <w:r>
              <w:rPr>
                <w:rFonts w:ascii="Calibri" w:hAnsi="Calibri" w:eastAsia="Calibri"/>
                <w:b/>
                <w:color w:val="0F172A"/>
                <w:sz w:val="16"/>
              </w:rPr>
              <w:t>ADR-008</w:t>
            </w:r>
          </w:p>
        </w:tc>
        <w:tc>
          <w:tcPr>
            <w:tcW w:type="dxa" w:w="3100"/>
            <w:shd w:fill="F8FAFC"/>
          </w:tcPr>
          <w:p>
            <w:pPr>
              <w:spacing w:after="0" w:line="252" w:lineRule="auto"/>
            </w:pPr>
            <w:r>
              <w:rPr>
                <w:rFonts w:ascii="Calibri" w:hAnsi="Calibri" w:eastAsia="Calibri"/>
                <w:b w:val="0"/>
                <w:color w:val="0F172A"/>
                <w:sz w:val="16"/>
              </w:rPr>
              <w:t>Governed learning</w:t>
            </w:r>
          </w:p>
        </w:tc>
        <w:tc>
          <w:tcPr>
            <w:tcW w:type="dxa" w:w="4960"/>
            <w:shd w:fill="F8FAFC"/>
          </w:tcPr>
          <w:p>
            <w:pPr>
              <w:spacing w:after="0" w:line="252" w:lineRule="auto"/>
            </w:pPr>
            <w:r>
              <w:rPr>
                <w:rFonts w:ascii="Calibri" w:hAnsi="Calibri" w:eastAsia="Calibri"/>
                <w:b w:val="0"/>
                <w:color w:val="0F172A"/>
                <w:sz w:val="16"/>
              </w:rPr>
              <w:t>Require evaluation and approval before runtime changes.</w:t>
            </w:r>
          </w:p>
        </w:tc>
      </w:tr>
    </w:tbl>
    <w:p>
      <w:pPr>
        <w:spacing w:before="0" w:after="40"/>
      </w:pPr>
    </w:p>
    <w:p>
      <w:r>
        <w:br w:type="page"/>
      </w:r>
    </w:p>
    <w:p>
      <w:pPr>
        <w:spacing w:after="80"/>
        <w:ind w:left="0" w:firstLine="0"/>
        <w:jc w:val="left"/>
      </w:pPr>
      <w:r>
        <w:rPr>
          <w:rFonts w:ascii="Calibri" w:hAnsi="Calibri" w:eastAsia="Calibri"/>
          <w:b/>
          <w:color w:val="0F766E"/>
          <w:sz w:val="19"/>
        </w:rPr>
        <w:t>12 | ADOPTION ROADMAP</w:t>
      </w:r>
    </w:p>
    <w:p>
      <w:pPr>
        <w:pStyle w:val="Heading1"/>
      </w:pPr>
      <w:r>
        <w:t>Build the spine before the breadth</w:t>
      </w:r>
    </w:p>
    <w:p>
      <w:pPr>
        <w:keepLines w:val="0"/>
        <w:spacing w:after="120"/>
        <w:ind w:left="0" w:right="0" w:firstLine="0"/>
        <w:jc w:val="left"/>
      </w:pPr>
      <w:r>
        <w:rPr>
          <w:rFonts w:ascii="Calibri" w:hAnsi="Calibri" w:eastAsia="Calibri"/>
          <w:i w:val="0"/>
          <w:color w:val="0F172A"/>
        </w:rPr>
        <w:t>The roadmap sequences irreversible framework contracts before expanding provider breadth or agent sophistication. Each horizon has an outcome-based exit criterion.</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50"/>
        <w:gridCol w:w="4300"/>
        <w:gridCol w:w="3410"/>
      </w:tblGrid>
      <w:tr>
        <w:trPr>
          <w:tblHeader w:val="true"/>
        </w:trPr>
        <w:tc>
          <w:tcPr>
            <w:tcW w:type="dxa" w:w="165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Horizon</w:t>
            </w:r>
          </w:p>
        </w:tc>
        <w:tc>
          <w:tcPr>
            <w:tcW w:type="dxa" w:w="43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Primary scope</w:t>
            </w:r>
          </w:p>
        </w:tc>
        <w:tc>
          <w:tcPr>
            <w:tcW w:type="dxa" w:w="341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Exit criterion</w:t>
            </w:r>
          </w:p>
        </w:tc>
      </w:tr>
      <w:tr>
        <w:tc>
          <w:tcPr>
            <w:tcW w:type="dxa" w:w="1650"/>
          </w:tcPr>
          <w:p>
            <w:pPr>
              <w:spacing w:after="0" w:line="252" w:lineRule="auto"/>
            </w:pPr>
            <w:r>
              <w:rPr>
                <w:rFonts w:ascii="Calibri" w:hAnsi="Calibri" w:eastAsia="Calibri"/>
                <w:b/>
                <w:color w:val="0F172A"/>
                <w:sz w:val="17"/>
              </w:rPr>
              <w:t>H0 - Contract foundation</w:t>
            </w:r>
          </w:p>
        </w:tc>
        <w:tc>
          <w:tcPr>
            <w:tcW w:type="dxa" w:w="4300"/>
          </w:tcPr>
          <w:p>
            <w:pPr>
              <w:spacing w:after="0" w:line="252" w:lineRule="auto"/>
            </w:pPr>
            <w:r>
              <w:rPr>
                <w:rFonts w:ascii="Calibri" w:hAnsi="Calibri" w:eastAsia="Calibri"/>
                <w:b w:val="0"/>
                <w:color w:val="0F172A"/>
                <w:sz w:val="17"/>
              </w:rPr>
              <w:t>Identity, ScopeContext, ontology registry, assertion envelope, snapshots, evidence and provider manifest</w:t>
            </w:r>
          </w:p>
        </w:tc>
        <w:tc>
          <w:tcPr>
            <w:tcW w:type="dxa" w:w="3410"/>
          </w:tcPr>
          <w:p>
            <w:pPr>
              <w:spacing w:after="0" w:line="252" w:lineRule="auto"/>
            </w:pPr>
            <w:r>
              <w:rPr>
                <w:rFonts w:ascii="Calibri" w:hAnsi="Calibri" w:eastAsia="Calibri"/>
                <w:b w:val="0"/>
                <w:color w:val="0F172A"/>
                <w:sz w:val="17"/>
              </w:rPr>
              <w:t>Contracts versioned; conformance harness proves isolation, replay and compatibility</w:t>
            </w:r>
          </w:p>
        </w:tc>
      </w:tr>
      <w:tr>
        <w:tc>
          <w:tcPr>
            <w:tcW w:type="dxa" w:w="1650"/>
            <w:shd w:fill="F8FAFC"/>
          </w:tcPr>
          <w:p>
            <w:pPr>
              <w:spacing w:after="0" w:line="252" w:lineRule="auto"/>
            </w:pPr>
            <w:r>
              <w:rPr>
                <w:rFonts w:ascii="Calibri" w:hAnsi="Calibri" w:eastAsia="Calibri"/>
                <w:b/>
                <w:color w:val="0F172A"/>
                <w:sz w:val="17"/>
              </w:rPr>
              <w:t>H1 - Context spine</w:t>
            </w:r>
          </w:p>
        </w:tc>
        <w:tc>
          <w:tcPr>
            <w:tcW w:type="dxa" w:w="4300"/>
            <w:shd w:fill="F8FAFC"/>
          </w:tcPr>
          <w:p>
            <w:pPr>
              <w:spacing w:after="0" w:line="252" w:lineRule="auto"/>
            </w:pPr>
            <w:r>
              <w:rPr>
                <w:rFonts w:ascii="Calibri" w:hAnsi="Calibri" w:eastAsia="Calibri"/>
                <w:b w:val="0"/>
                <w:color w:val="0F172A"/>
                <w:sz w:val="17"/>
              </w:rPr>
              <w:t>Source connectors, assertion ledger, topology/domain projections, query APIs, hybrid retrieval and audit</w:t>
            </w:r>
          </w:p>
        </w:tc>
        <w:tc>
          <w:tcPr>
            <w:tcW w:type="dxa" w:w="3410"/>
            <w:shd w:fill="F8FAFC"/>
          </w:tcPr>
          <w:p>
            <w:pPr>
              <w:spacing w:after="0" w:line="252" w:lineRule="auto"/>
            </w:pPr>
            <w:r>
              <w:rPr>
                <w:rFonts w:ascii="Calibri" w:hAnsi="Calibri" w:eastAsia="Calibri"/>
                <w:b w:val="0"/>
                <w:color w:val="0F172A"/>
                <w:sz w:val="17"/>
              </w:rPr>
              <w:t>One revision-consistent snapshot supports explainable trace and grounding</w:t>
            </w:r>
          </w:p>
        </w:tc>
      </w:tr>
      <w:tr>
        <w:tc>
          <w:tcPr>
            <w:tcW w:type="dxa" w:w="1650"/>
          </w:tcPr>
          <w:p>
            <w:pPr>
              <w:spacing w:after="0" w:line="252" w:lineRule="auto"/>
            </w:pPr>
            <w:r>
              <w:rPr>
                <w:rFonts w:ascii="Calibri" w:hAnsi="Calibri" w:eastAsia="Calibri"/>
                <w:b/>
                <w:color w:val="0F172A"/>
                <w:sz w:val="17"/>
              </w:rPr>
              <w:t>H2 - Impact and assurance</w:t>
            </w:r>
          </w:p>
        </w:tc>
        <w:tc>
          <w:tcPr>
            <w:tcW w:type="dxa" w:w="4300"/>
          </w:tcPr>
          <w:p>
            <w:pPr>
              <w:spacing w:after="0" w:line="252" w:lineRule="auto"/>
            </w:pPr>
            <w:r>
              <w:rPr>
                <w:rFonts w:ascii="Calibri" w:hAnsi="Calibri" w:eastAsia="Calibri"/>
                <w:b w:val="0"/>
                <w:color w:val="0F172A"/>
                <w:sz w:val="17"/>
              </w:rPr>
              <w:t>Semantic ChangeSet, multi-signal Impact Engine, test obligations, test data broker and evidence gate</w:t>
            </w:r>
          </w:p>
        </w:tc>
        <w:tc>
          <w:tcPr>
            <w:tcW w:type="dxa" w:w="3410"/>
          </w:tcPr>
          <w:p>
            <w:pPr>
              <w:spacing w:after="0" w:line="252" w:lineRule="auto"/>
            </w:pPr>
            <w:r>
              <w:rPr>
                <w:rFonts w:ascii="Calibri" w:hAnsi="Calibri" w:eastAsia="Calibri"/>
                <w:b w:val="0"/>
                <w:color w:val="0F172A"/>
                <w:sz w:val="17"/>
              </w:rPr>
              <w:t>Design, implementation, QA and release use one assessment; unknowns fail safely</w:t>
            </w:r>
          </w:p>
        </w:tc>
      </w:tr>
      <w:tr>
        <w:tc>
          <w:tcPr>
            <w:tcW w:type="dxa" w:w="1650"/>
            <w:shd w:fill="F8FAFC"/>
          </w:tcPr>
          <w:p>
            <w:pPr>
              <w:spacing w:after="0" w:line="252" w:lineRule="auto"/>
            </w:pPr>
            <w:r>
              <w:rPr>
                <w:rFonts w:ascii="Calibri" w:hAnsi="Calibri" w:eastAsia="Calibri"/>
                <w:b/>
                <w:color w:val="0F172A"/>
                <w:sz w:val="17"/>
              </w:rPr>
              <w:t>H3 - Enterprise scale</w:t>
            </w:r>
          </w:p>
        </w:tc>
        <w:tc>
          <w:tcPr>
            <w:tcW w:type="dxa" w:w="4300"/>
            <w:shd w:fill="F8FAFC"/>
          </w:tcPr>
          <w:p>
            <w:pPr>
              <w:spacing w:after="0" w:line="252" w:lineRule="auto"/>
            </w:pPr>
            <w:r>
              <w:rPr>
                <w:rFonts w:ascii="Calibri" w:hAnsi="Calibri" w:eastAsia="Calibri"/>
                <w:b w:val="0"/>
                <w:color w:val="0F172A"/>
                <w:sz w:val="17"/>
              </w:rPr>
              <w:t>Hybrid deployment, policy packs, regulated controls, additional analyzers, runtime topology and operations links</w:t>
            </w:r>
          </w:p>
        </w:tc>
        <w:tc>
          <w:tcPr>
            <w:tcW w:type="dxa" w:w="3410"/>
            <w:shd w:fill="F8FAFC"/>
          </w:tcPr>
          <w:p>
            <w:pPr>
              <w:spacing w:after="0" w:line="252" w:lineRule="auto"/>
            </w:pPr>
            <w:r>
              <w:rPr>
                <w:rFonts w:ascii="Calibri" w:hAnsi="Calibri" w:eastAsia="Calibri"/>
                <w:b w:val="0"/>
                <w:color w:val="0F172A"/>
                <w:sz w:val="17"/>
              </w:rPr>
              <w:t>Design partners meet isolation, quality and operational SLOs</w:t>
            </w:r>
          </w:p>
        </w:tc>
      </w:tr>
      <w:tr>
        <w:tc>
          <w:tcPr>
            <w:tcW w:type="dxa" w:w="1650"/>
          </w:tcPr>
          <w:p>
            <w:pPr>
              <w:spacing w:after="0" w:line="252" w:lineRule="auto"/>
            </w:pPr>
            <w:r>
              <w:rPr>
                <w:rFonts w:ascii="Calibri" w:hAnsi="Calibri" w:eastAsia="Calibri"/>
                <w:b/>
                <w:color w:val="0F172A"/>
                <w:sz w:val="17"/>
              </w:rPr>
              <w:t>H4 - Ecosystem and learning</w:t>
            </w:r>
          </w:p>
        </w:tc>
        <w:tc>
          <w:tcPr>
            <w:tcW w:type="dxa" w:w="4300"/>
          </w:tcPr>
          <w:p>
            <w:pPr>
              <w:spacing w:after="0" w:line="252" w:lineRule="auto"/>
            </w:pPr>
            <w:r>
              <w:rPr>
                <w:rFonts w:ascii="Calibri" w:hAnsi="Calibri" w:eastAsia="Calibri"/>
                <w:b w:val="0"/>
                <w:color w:val="0F172A"/>
                <w:sz w:val="17"/>
              </w:rPr>
              <w:t>Provider marketplace, evaluation factory, champion/challenger calibration and reusable domain packs</w:t>
            </w:r>
          </w:p>
        </w:tc>
        <w:tc>
          <w:tcPr>
            <w:tcW w:type="dxa" w:w="3410"/>
          </w:tcPr>
          <w:p>
            <w:pPr>
              <w:spacing w:after="0" w:line="252" w:lineRule="auto"/>
            </w:pPr>
            <w:r>
              <w:rPr>
                <w:rFonts w:ascii="Calibri" w:hAnsi="Calibri" w:eastAsia="Calibri"/>
                <w:b w:val="0"/>
                <w:color w:val="0F172A"/>
                <w:sz w:val="17"/>
              </w:rPr>
              <w:t>Partners add capability without forks; improvements are measured and governed</w:t>
            </w:r>
          </w:p>
        </w:tc>
      </w:tr>
    </w:tbl>
    <w:p>
      <w:pPr>
        <w:spacing w:before="0" w:after="40"/>
      </w:pPr>
    </w:p>
    <w:p>
      <w:pPr>
        <w:pStyle w:val="Heading2"/>
      </w:pPr>
      <w:r>
        <w:t>Proof strategy</w:t>
      </w:r>
    </w:p>
    <w:p>
      <w:pPr>
        <w:pStyle w:val="ListNumber"/>
        <w:spacing w:after="100"/>
        <w:numPr>
          <w:ilvl w:val="0"/>
          <w:numId w:val="14"/>
        </w:numPr>
      </w:pPr>
      <w:r>
        <w:rPr>
          <w:rFonts w:ascii="Calibri" w:hAnsi="Calibri" w:eastAsia="Calibri"/>
          <w:color w:val="0F172A"/>
        </w:rPr>
        <w:t>Select design partners with different stacks, compliance profiles and delivery toolchains.</w:t>
      </w:r>
    </w:p>
    <w:p>
      <w:pPr>
        <w:pStyle w:val="ListNumber"/>
        <w:spacing w:after="100"/>
        <w:numPr>
          <w:ilvl w:val="0"/>
          <w:numId w:val="14"/>
        </w:numPr>
      </w:pPr>
      <w:r>
        <w:rPr>
          <w:rFonts w:ascii="Calibri" w:hAnsi="Calibri" w:eastAsia="Calibri"/>
          <w:color w:val="0F172A"/>
        </w:rPr>
        <w:t>Establish a time-split historical corpus and full-suite shadow execution before claiming selection accuracy.</w:t>
      </w:r>
    </w:p>
    <w:p>
      <w:pPr>
        <w:pStyle w:val="ListNumber"/>
        <w:spacing w:after="100"/>
        <w:numPr>
          <w:ilvl w:val="0"/>
          <w:numId w:val="14"/>
        </w:numPr>
      </w:pPr>
      <w:r>
        <w:rPr>
          <w:rFonts w:ascii="Calibri" w:hAnsi="Calibri" w:eastAsia="Calibri"/>
          <w:color w:val="0F172A"/>
        </w:rPr>
        <w:t>Replay known defects and incidents to prove explanation paths and severity-sensitive recall.</w:t>
      </w:r>
    </w:p>
    <w:p>
      <w:pPr>
        <w:pStyle w:val="ListNumber"/>
        <w:spacing w:after="100"/>
        <w:numPr>
          <w:ilvl w:val="0"/>
          <w:numId w:val="14"/>
        </w:numPr>
      </w:pPr>
      <w:r>
        <w:rPr>
          <w:rFonts w:ascii="Calibri" w:hAnsi="Calibri" w:eastAsia="Calibri"/>
          <w:color w:val="0F172A"/>
        </w:rPr>
        <w:t>Demonstrate a provider replacement without changing core workflow or decision semantics.</w:t>
      </w:r>
    </w:p>
    <w:p>
      <w:pPr>
        <w:pStyle w:val="ListNumber"/>
        <w:spacing w:after="100"/>
        <w:numPr>
          <w:ilvl w:val="0"/>
          <w:numId w:val="14"/>
        </w:numPr>
      </w:pPr>
      <w:r>
        <w:rPr>
          <w:rFonts w:ascii="Calibri" w:hAnsi="Calibri" w:eastAsia="Calibri"/>
          <w:color w:val="0F172A"/>
        </w:rPr>
        <w:t>Demonstrate as-of audit: reconstruct a release decision using the exact requirement, revision, snapshot, evidence and policy versions.</w:t>
      </w:r>
    </w:p>
    <w:p>
      <w:pPr>
        <w:pStyle w:val="ListNumber"/>
        <w:spacing w:after="100"/>
        <w:numPr>
          <w:ilvl w:val="0"/>
          <w:numId w:val="14"/>
        </w:numPr>
      </w:pPr>
      <w:r>
        <w:rPr>
          <w:rFonts w:ascii="Calibri" w:hAnsi="Calibri" w:eastAsia="Calibri"/>
          <w:color w:val="0F172A"/>
        </w:rPr>
        <w:t>Demonstrate client-bound execution with no sensitive source, credentials or test data persisted in the managed control plane.</w:t>
      </w:r>
    </w:p>
    <w:p>
      <w:pPr>
        <w:pStyle w:val="Heading2"/>
      </w:pPr>
      <w:r>
        <w:t>Investment guardrails</w:t>
      </w:r>
    </w:p>
    <w:p>
      <w:pPr>
        <w:keepLines/>
        <w:spacing w:before="100" w:after="200"/>
        <w:ind w:left="202" w:right="144"/>
        <w:shd w:fill="FFF7ED"/>
        <w:pBdr>
          <w:left w:val="single" w:sz="22" w:space="8" w:color="D97706"/>
        </w:pBdr>
      </w:pPr>
      <w:r>
        <w:rPr>
          <w:rFonts w:ascii="Calibri" w:hAnsi="Calibri" w:eastAsia="Calibri"/>
          <w:b/>
          <w:color w:val="D97706"/>
          <w:sz w:val="18"/>
        </w:rPr>
        <w:t xml:space="preserve">PRIORITY  </w:t>
      </w:r>
      <w:r>
        <w:rPr>
          <w:rFonts w:ascii="Calibri" w:hAnsi="Calibri" w:eastAsia="Calibri"/>
          <w:b w:val="0"/>
          <w:color w:val="0F172A"/>
          <w:sz w:val="20"/>
        </w:rPr>
        <w:t>Invest first in temporal correctness, one impact contract, conformance, evidence and evaluation. Connector count and UI breadth do not compensate for a weak decision substrate.</w:t>
      </w:r>
    </w:p>
    <w:p>
      <w:r>
        <w:br w:type="page"/>
      </w:r>
    </w:p>
    <w:p>
      <w:pPr>
        <w:spacing w:after="80"/>
        <w:ind w:left="0" w:firstLine="0"/>
        <w:jc w:val="left"/>
      </w:pPr>
      <w:r>
        <w:rPr>
          <w:rFonts w:ascii="Calibri" w:hAnsi="Calibri" w:eastAsia="Calibri"/>
          <w:b/>
          <w:color w:val="0F766E"/>
          <w:sz w:val="19"/>
        </w:rPr>
        <w:t>13 | STRATEGIC RISKS AND MITIGATIONS</w:t>
      </w:r>
    </w:p>
    <w:p>
      <w:pPr>
        <w:pStyle w:val="Heading1"/>
      </w:pPr>
      <w:r>
        <w:t>Risks to manage deliberately</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3000"/>
        <w:gridCol w:w="4660"/>
      </w:tblGrid>
      <w:tr>
        <w:trPr>
          <w:tblHeader w:val="true"/>
        </w:trPr>
        <w:tc>
          <w:tcPr>
            <w:tcW w:type="dxa" w:w="17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Risk</w:t>
            </w:r>
          </w:p>
        </w:tc>
        <w:tc>
          <w:tcPr>
            <w:tcW w:type="dxa" w:w="30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Failure mode</w:t>
            </w:r>
          </w:p>
        </w:tc>
        <w:tc>
          <w:tcPr>
            <w:tcW w:type="dxa" w:w="46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Architectural mitigation</w:t>
            </w:r>
          </w:p>
        </w:tc>
      </w:tr>
      <w:tr>
        <w:tc>
          <w:tcPr>
            <w:tcW w:type="dxa" w:w="1700"/>
          </w:tcPr>
          <w:p>
            <w:pPr>
              <w:spacing w:after="0" w:line="252" w:lineRule="auto"/>
            </w:pPr>
            <w:r>
              <w:rPr>
                <w:rFonts w:ascii="Calibri" w:hAnsi="Calibri" w:eastAsia="Calibri"/>
                <w:b/>
                <w:color w:val="0F172A"/>
                <w:sz w:val="17"/>
              </w:rPr>
              <w:t>False confidence</w:t>
            </w:r>
          </w:p>
        </w:tc>
        <w:tc>
          <w:tcPr>
            <w:tcW w:type="dxa" w:w="3000"/>
          </w:tcPr>
          <w:p>
            <w:pPr>
              <w:spacing w:after="0" w:line="252" w:lineRule="auto"/>
            </w:pPr>
            <w:r>
              <w:rPr>
                <w:rFonts w:ascii="Calibri" w:hAnsi="Calibri" w:eastAsia="Calibri"/>
                <w:b w:val="0"/>
                <w:color w:val="0F172A"/>
                <w:sz w:val="17"/>
              </w:rPr>
              <w:t>Incomplete context appears authoritative</w:t>
            </w:r>
          </w:p>
        </w:tc>
        <w:tc>
          <w:tcPr>
            <w:tcW w:type="dxa" w:w="4660"/>
          </w:tcPr>
          <w:p>
            <w:pPr>
              <w:spacing w:after="0" w:line="252" w:lineRule="auto"/>
            </w:pPr>
            <w:r>
              <w:rPr>
                <w:rFonts w:ascii="Calibri" w:hAnsi="Calibri" w:eastAsia="Calibri"/>
                <w:b w:val="0"/>
                <w:color w:val="0F172A"/>
                <w:sz w:val="17"/>
              </w:rPr>
              <w:t>Expose evidence class, freshness, coverage and unknowns; fail safely by policy</w:t>
            </w:r>
          </w:p>
        </w:tc>
      </w:tr>
      <w:tr>
        <w:tc>
          <w:tcPr>
            <w:tcW w:type="dxa" w:w="1700"/>
            <w:shd w:fill="F8FAFC"/>
          </w:tcPr>
          <w:p>
            <w:pPr>
              <w:spacing w:after="0" w:line="252" w:lineRule="auto"/>
            </w:pPr>
            <w:r>
              <w:rPr>
                <w:rFonts w:ascii="Calibri" w:hAnsi="Calibri" w:eastAsia="Calibri"/>
                <w:b/>
                <w:color w:val="0F172A"/>
                <w:sz w:val="17"/>
              </w:rPr>
              <w:t>Ontology sprawl</w:t>
            </w:r>
          </w:p>
        </w:tc>
        <w:tc>
          <w:tcPr>
            <w:tcW w:type="dxa" w:w="3000"/>
            <w:shd w:fill="F8FAFC"/>
          </w:tcPr>
          <w:p>
            <w:pPr>
              <w:spacing w:after="0" w:line="252" w:lineRule="auto"/>
            </w:pPr>
            <w:r>
              <w:rPr>
                <w:rFonts w:ascii="Calibri" w:hAnsi="Calibri" w:eastAsia="Calibri"/>
                <w:b w:val="0"/>
                <w:color w:val="0F172A"/>
                <w:sz w:val="17"/>
              </w:rPr>
              <w:t>Client extensions fragment semantics</w:t>
            </w:r>
          </w:p>
        </w:tc>
        <w:tc>
          <w:tcPr>
            <w:tcW w:type="dxa" w:w="4660"/>
            <w:shd w:fill="F8FAFC"/>
          </w:tcPr>
          <w:p>
            <w:pPr>
              <w:spacing w:after="0" w:line="252" w:lineRule="auto"/>
            </w:pPr>
            <w:r>
              <w:rPr>
                <w:rFonts w:ascii="Calibri" w:hAnsi="Calibri" w:eastAsia="Calibri"/>
                <w:b w:val="0"/>
                <w:color w:val="0F172A"/>
                <w:sz w:val="17"/>
              </w:rPr>
              <w:t>Governed packages, namespace ownership, compatibility and semantic conformance</w:t>
            </w:r>
          </w:p>
        </w:tc>
      </w:tr>
      <w:tr>
        <w:tc>
          <w:tcPr>
            <w:tcW w:type="dxa" w:w="1700"/>
          </w:tcPr>
          <w:p>
            <w:pPr>
              <w:spacing w:after="0" w:line="252" w:lineRule="auto"/>
            </w:pPr>
            <w:r>
              <w:rPr>
                <w:rFonts w:ascii="Calibri" w:hAnsi="Calibri" w:eastAsia="Calibri"/>
                <w:b/>
                <w:color w:val="0F172A"/>
                <w:sz w:val="17"/>
              </w:rPr>
              <w:t>Client forks</w:t>
            </w:r>
          </w:p>
        </w:tc>
        <w:tc>
          <w:tcPr>
            <w:tcW w:type="dxa" w:w="3000"/>
          </w:tcPr>
          <w:p>
            <w:pPr>
              <w:spacing w:after="0" w:line="252" w:lineRule="auto"/>
            </w:pPr>
            <w:r>
              <w:rPr>
                <w:rFonts w:ascii="Calibri" w:hAnsi="Calibri" w:eastAsia="Calibri"/>
                <w:b w:val="0"/>
                <w:color w:val="0F172A"/>
                <w:sz w:val="17"/>
              </w:rPr>
              <w:t>Custom integrations alter core behavior</w:t>
            </w:r>
          </w:p>
        </w:tc>
        <w:tc>
          <w:tcPr>
            <w:tcW w:type="dxa" w:w="4660"/>
          </w:tcPr>
          <w:p>
            <w:pPr>
              <w:spacing w:after="0" w:line="252" w:lineRule="auto"/>
            </w:pPr>
            <w:r>
              <w:rPr>
                <w:rFonts w:ascii="Calibri" w:hAnsi="Calibri" w:eastAsia="Calibri"/>
                <w:b w:val="0"/>
                <w:color w:val="0F172A"/>
                <w:sz w:val="17"/>
              </w:rPr>
              <w:t>Capability contracts, policy packs and strict kernel boundaries</w:t>
            </w:r>
          </w:p>
        </w:tc>
      </w:tr>
      <w:tr>
        <w:tc>
          <w:tcPr>
            <w:tcW w:type="dxa" w:w="1700"/>
            <w:shd w:fill="F8FAFC"/>
          </w:tcPr>
          <w:p>
            <w:pPr>
              <w:spacing w:after="0" w:line="252" w:lineRule="auto"/>
            </w:pPr>
            <w:r>
              <w:rPr>
                <w:rFonts w:ascii="Calibri" w:hAnsi="Calibri" w:eastAsia="Calibri"/>
                <w:b/>
                <w:color w:val="0F172A"/>
                <w:sz w:val="17"/>
              </w:rPr>
              <w:t>Accuracy theater</w:t>
            </w:r>
          </w:p>
        </w:tc>
        <w:tc>
          <w:tcPr>
            <w:tcW w:type="dxa" w:w="3000"/>
            <w:shd w:fill="F8FAFC"/>
          </w:tcPr>
          <w:p>
            <w:pPr>
              <w:spacing w:after="0" w:line="252" w:lineRule="auto"/>
            </w:pPr>
            <w:r>
              <w:rPr>
                <w:rFonts w:ascii="Calibri" w:hAnsi="Calibri" w:eastAsia="Calibri"/>
                <w:b w:val="0"/>
                <w:color w:val="0F172A"/>
                <w:sz w:val="17"/>
              </w:rPr>
              <w:t>Proxy metrics become marketing claims</w:t>
            </w:r>
          </w:p>
        </w:tc>
        <w:tc>
          <w:tcPr>
            <w:tcW w:type="dxa" w:w="4660"/>
            <w:shd w:fill="F8FAFC"/>
          </w:tcPr>
          <w:p>
            <w:pPr>
              <w:spacing w:after="0" w:line="252" w:lineRule="auto"/>
            </w:pPr>
            <w:r>
              <w:rPr>
                <w:rFonts w:ascii="Calibri" w:hAnsi="Calibri" w:eastAsia="Calibri"/>
                <w:b w:val="0"/>
                <w:color w:val="0F172A"/>
                <w:sz w:val="17"/>
              </w:rPr>
              <w:t>Client-specific datasets, confidence intervals, shadow runs and outcome-linked measures</w:t>
            </w:r>
          </w:p>
        </w:tc>
      </w:tr>
      <w:tr>
        <w:tc>
          <w:tcPr>
            <w:tcW w:type="dxa" w:w="1700"/>
          </w:tcPr>
          <w:p>
            <w:pPr>
              <w:spacing w:after="0" w:line="252" w:lineRule="auto"/>
            </w:pPr>
            <w:r>
              <w:rPr>
                <w:rFonts w:ascii="Calibri" w:hAnsi="Calibri" w:eastAsia="Calibri"/>
                <w:b/>
                <w:color w:val="0F172A"/>
                <w:sz w:val="17"/>
              </w:rPr>
              <w:t>Data leakage</w:t>
            </w:r>
          </w:p>
        </w:tc>
        <w:tc>
          <w:tcPr>
            <w:tcW w:type="dxa" w:w="3000"/>
          </w:tcPr>
          <w:p>
            <w:pPr>
              <w:spacing w:after="0" w:line="252" w:lineRule="auto"/>
            </w:pPr>
            <w:r>
              <w:rPr>
                <w:rFonts w:ascii="Calibri" w:hAnsi="Calibri" w:eastAsia="Calibri"/>
                <w:b w:val="0"/>
                <w:color w:val="0F172A"/>
                <w:sz w:val="17"/>
              </w:rPr>
              <w:t>Code or test data crosses an unintended boundary</w:t>
            </w:r>
          </w:p>
        </w:tc>
        <w:tc>
          <w:tcPr>
            <w:tcW w:type="dxa" w:w="4660"/>
          </w:tcPr>
          <w:p>
            <w:pPr>
              <w:spacing w:after="0" w:line="252" w:lineRule="auto"/>
            </w:pPr>
            <w:r>
              <w:rPr>
                <w:rFonts w:ascii="Calibri" w:hAnsi="Calibri" w:eastAsia="Calibri"/>
                <w:b w:val="0"/>
                <w:color w:val="0F172A"/>
                <w:sz w:val="17"/>
              </w:rPr>
              <w:t>Hybrid execution, minimization, egress policy, DLP and reference-based evidence</w:t>
            </w:r>
          </w:p>
        </w:tc>
      </w:tr>
      <w:tr>
        <w:tc>
          <w:tcPr>
            <w:tcW w:type="dxa" w:w="1700"/>
            <w:shd w:fill="F8FAFC"/>
          </w:tcPr>
          <w:p>
            <w:pPr>
              <w:spacing w:after="0" w:line="252" w:lineRule="auto"/>
            </w:pPr>
            <w:r>
              <w:rPr>
                <w:rFonts w:ascii="Calibri" w:hAnsi="Calibri" w:eastAsia="Calibri"/>
                <w:b/>
                <w:color w:val="0F172A"/>
                <w:sz w:val="17"/>
              </w:rPr>
              <w:t>Agent overreach</w:t>
            </w:r>
          </w:p>
        </w:tc>
        <w:tc>
          <w:tcPr>
            <w:tcW w:type="dxa" w:w="3000"/>
            <w:shd w:fill="F8FAFC"/>
          </w:tcPr>
          <w:p>
            <w:pPr>
              <w:spacing w:after="0" w:line="252" w:lineRule="auto"/>
            </w:pPr>
            <w:r>
              <w:rPr>
                <w:rFonts w:ascii="Calibri" w:hAnsi="Calibri" w:eastAsia="Calibri"/>
                <w:b w:val="0"/>
                <w:color w:val="0F172A"/>
                <w:sz w:val="17"/>
              </w:rPr>
              <w:t>Probabilistic output changes governed state</w:t>
            </w:r>
          </w:p>
        </w:tc>
        <w:tc>
          <w:tcPr>
            <w:tcW w:type="dxa" w:w="4660"/>
            <w:shd w:fill="F8FAFC"/>
          </w:tcPr>
          <w:p>
            <w:pPr>
              <w:spacing w:after="0" w:line="252" w:lineRule="auto"/>
            </w:pPr>
            <w:r>
              <w:rPr>
                <w:rFonts w:ascii="Calibri" w:hAnsi="Calibri" w:eastAsia="Calibri"/>
                <w:b w:val="0"/>
                <w:color w:val="0F172A"/>
                <w:sz w:val="17"/>
              </w:rPr>
              <w:t>Deterministic state machine, tool authorization, human authority and immutable audit</w:t>
            </w:r>
          </w:p>
        </w:tc>
      </w:tr>
      <w:tr>
        <w:tc>
          <w:tcPr>
            <w:tcW w:type="dxa" w:w="1700"/>
          </w:tcPr>
          <w:p>
            <w:pPr>
              <w:spacing w:after="0" w:line="252" w:lineRule="auto"/>
            </w:pPr>
            <w:r>
              <w:rPr>
                <w:rFonts w:ascii="Calibri" w:hAnsi="Calibri" w:eastAsia="Calibri"/>
                <w:b/>
                <w:color w:val="0F172A"/>
                <w:sz w:val="17"/>
              </w:rPr>
              <w:t>Provider lock-in</w:t>
            </w:r>
          </w:p>
        </w:tc>
        <w:tc>
          <w:tcPr>
            <w:tcW w:type="dxa" w:w="3000"/>
          </w:tcPr>
          <w:p>
            <w:pPr>
              <w:spacing w:after="0" w:line="252" w:lineRule="auto"/>
            </w:pPr>
            <w:r>
              <w:rPr>
                <w:rFonts w:ascii="Calibri" w:hAnsi="Calibri" w:eastAsia="Calibri"/>
                <w:b w:val="0"/>
                <w:color w:val="0F172A"/>
                <w:sz w:val="17"/>
              </w:rPr>
              <w:t>Models or tools become embedded in semantics</w:t>
            </w:r>
          </w:p>
        </w:tc>
        <w:tc>
          <w:tcPr>
            <w:tcW w:type="dxa" w:w="4660"/>
          </w:tcPr>
          <w:p>
            <w:pPr>
              <w:spacing w:after="0" w:line="252" w:lineRule="auto"/>
            </w:pPr>
            <w:r>
              <w:rPr>
                <w:rFonts w:ascii="Calibri" w:hAnsi="Calibri" w:eastAsia="Calibri"/>
                <w:b w:val="0"/>
                <w:color w:val="0F172A"/>
                <w:sz w:val="17"/>
              </w:rPr>
              <w:t>Provider-neutral contracts, capability negotiation and replay tests</w:t>
            </w:r>
          </w:p>
        </w:tc>
      </w:tr>
      <w:tr>
        <w:tc>
          <w:tcPr>
            <w:tcW w:type="dxa" w:w="1700"/>
            <w:shd w:fill="F8FAFC"/>
          </w:tcPr>
          <w:p>
            <w:pPr>
              <w:spacing w:after="0" w:line="252" w:lineRule="auto"/>
            </w:pPr>
            <w:r>
              <w:rPr>
                <w:rFonts w:ascii="Calibri" w:hAnsi="Calibri" w:eastAsia="Calibri"/>
                <w:b/>
                <w:color w:val="0F172A"/>
                <w:sz w:val="17"/>
              </w:rPr>
              <w:t>Feedback bias</w:t>
            </w:r>
          </w:p>
        </w:tc>
        <w:tc>
          <w:tcPr>
            <w:tcW w:type="dxa" w:w="3000"/>
            <w:shd w:fill="F8FAFC"/>
          </w:tcPr>
          <w:p>
            <w:pPr>
              <w:spacing w:after="0" w:line="252" w:lineRule="auto"/>
            </w:pPr>
            <w:r>
              <w:rPr>
                <w:rFonts w:ascii="Calibri" w:hAnsi="Calibri" w:eastAsia="Calibri"/>
                <w:b w:val="0"/>
                <w:color w:val="0F172A"/>
                <w:sz w:val="17"/>
              </w:rPr>
              <w:t>Learning reinforces incomplete historical patterns</w:t>
            </w:r>
          </w:p>
        </w:tc>
        <w:tc>
          <w:tcPr>
            <w:tcW w:type="dxa" w:w="4660"/>
            <w:shd w:fill="F8FAFC"/>
          </w:tcPr>
          <w:p>
            <w:pPr>
              <w:spacing w:after="0" w:line="252" w:lineRule="auto"/>
            </w:pPr>
            <w:r>
              <w:rPr>
                <w:rFonts w:ascii="Calibri" w:hAnsi="Calibri" w:eastAsia="Calibri"/>
                <w:b w:val="0"/>
                <w:color w:val="0F172A"/>
                <w:sz w:val="17"/>
              </w:rPr>
              <w:t>Curated datasets, mutation/escape cases, challenger evaluation and tenant isolation</w:t>
            </w:r>
          </w:p>
        </w:tc>
      </w:tr>
      <w:tr>
        <w:tc>
          <w:tcPr>
            <w:tcW w:type="dxa" w:w="1700"/>
          </w:tcPr>
          <w:p>
            <w:pPr>
              <w:spacing w:after="0" w:line="252" w:lineRule="auto"/>
            </w:pPr>
            <w:r>
              <w:rPr>
                <w:rFonts w:ascii="Calibri" w:hAnsi="Calibri" w:eastAsia="Calibri"/>
                <w:b/>
                <w:color w:val="0F172A"/>
                <w:sz w:val="17"/>
              </w:rPr>
              <w:t>Cost and latency</w:t>
            </w:r>
          </w:p>
        </w:tc>
        <w:tc>
          <w:tcPr>
            <w:tcW w:type="dxa" w:w="3000"/>
          </w:tcPr>
          <w:p>
            <w:pPr>
              <w:spacing w:after="0" w:line="252" w:lineRule="auto"/>
            </w:pPr>
            <w:r>
              <w:rPr>
                <w:rFonts w:ascii="Calibri" w:hAnsi="Calibri" w:eastAsia="Calibri"/>
                <w:b w:val="0"/>
                <w:color w:val="0F172A"/>
                <w:sz w:val="17"/>
              </w:rPr>
              <w:t>Analysis breadth erodes delivery economics</w:t>
            </w:r>
          </w:p>
        </w:tc>
        <w:tc>
          <w:tcPr>
            <w:tcW w:type="dxa" w:w="4660"/>
          </w:tcPr>
          <w:p>
            <w:pPr>
              <w:spacing w:after="0" w:line="252" w:lineRule="auto"/>
            </w:pPr>
            <w:r>
              <w:rPr>
                <w:rFonts w:ascii="Calibri" w:hAnsi="Calibri" w:eastAsia="Calibri"/>
                <w:b w:val="0"/>
                <w:color w:val="0F172A"/>
                <w:sz w:val="17"/>
              </w:rPr>
              <w:t>Budgets, bounded traversal, caching, async analysis and value-based evidence policies</w:t>
            </w:r>
          </w:p>
        </w:tc>
      </w:tr>
    </w:tbl>
    <w:p>
      <w:pPr>
        <w:spacing w:before="0" w:after="40"/>
      </w:pPr>
    </w:p>
    <w:p>
      <w:r>
        <w:br w:type="page"/>
      </w:r>
    </w:p>
    <w:p>
      <w:pPr>
        <w:spacing w:after="80"/>
        <w:ind w:left="0" w:firstLine="0"/>
        <w:jc w:val="left"/>
      </w:pPr>
      <w:r>
        <w:rPr>
          <w:rFonts w:ascii="Calibri" w:hAnsi="Calibri" w:eastAsia="Calibri"/>
          <w:b/>
          <w:color w:val="0F766E"/>
          <w:sz w:val="19"/>
        </w:rPr>
        <w:t>14 | LEADERSHIP ALIGNMENT</w:t>
      </w:r>
    </w:p>
    <w:p>
      <w:pPr>
        <w:pStyle w:val="Heading1"/>
      </w:pPr>
      <w:r>
        <w:t>The decisions that shape the platform</w:t>
      </w:r>
    </w:p>
    <w:p>
      <w:pPr>
        <w:keepLines/>
        <w:spacing w:before="100" w:after="200"/>
        <w:ind w:left="202" w:right="144"/>
        <w:shd w:fill="ECFDF5"/>
        <w:pBdr>
          <w:left w:val="single" w:sz="22" w:space="8" w:color="0F766E"/>
        </w:pBdr>
      </w:pPr>
      <w:r>
        <w:rPr>
          <w:rFonts w:ascii="Calibri" w:hAnsi="Calibri" w:eastAsia="Calibri"/>
          <w:b/>
          <w:color w:val="0F766E"/>
          <w:sz w:val="18"/>
        </w:rPr>
        <w:t xml:space="preserve">RECOMMENDATION  </w:t>
      </w:r>
      <w:r>
        <w:rPr>
          <w:rFonts w:ascii="Calibri" w:hAnsi="Calibri" w:eastAsia="Calibri"/>
          <w:b w:val="0"/>
          <w:color w:val="0F172A"/>
          <w:sz w:val="20"/>
        </w:rPr>
        <w:t>Treat the Context Fabric, Impact Engine, Policy Engine, Evidence Ledger and Provider SDK as the product's durable kernel. Treat every agent, model, connector, analyzer, test framework and deployment tool as replaceable.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Decision area</w:t>
            </w:r>
          </w:p>
        </w:tc>
        <w:tc>
          <w:tcPr>
            <w:tcW w:type="dxa" w:w="71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Leadership position</w:t>
            </w:r>
          </w:p>
        </w:tc>
      </w:tr>
      <w:tr>
        <w:tc>
          <w:tcPr>
            <w:tcW w:type="dxa" w:w="2200"/>
          </w:tcPr>
          <w:p>
            <w:pPr>
              <w:spacing w:after="0" w:line="252" w:lineRule="auto"/>
            </w:pPr>
            <w:r>
              <w:rPr>
                <w:rFonts w:ascii="Calibri" w:hAnsi="Calibri" w:eastAsia="Calibri"/>
                <w:b/>
                <w:color w:val="0F172A"/>
                <w:sz w:val="18"/>
              </w:rPr>
              <w:t>Strategic boundary</w:t>
            </w:r>
          </w:p>
        </w:tc>
        <w:tc>
          <w:tcPr>
            <w:tcW w:type="dxa" w:w="7160"/>
          </w:tcPr>
          <w:p>
            <w:pPr>
              <w:spacing w:after="0" w:line="252" w:lineRule="auto"/>
            </w:pPr>
            <w:r>
              <w:rPr>
                <w:rFonts w:ascii="Calibri" w:hAnsi="Calibri" w:eastAsia="Calibri"/>
                <w:b w:val="0"/>
                <w:color w:val="0F172A"/>
                <w:sz w:val="18"/>
              </w:rPr>
              <w:t>Approve the framework as a governed decision platform rather than an agent-automation application.</w:t>
            </w:r>
          </w:p>
        </w:tc>
      </w:tr>
      <w:tr>
        <w:tc>
          <w:tcPr>
            <w:tcW w:type="dxa" w:w="2200"/>
            <w:shd w:fill="F8FAFC"/>
          </w:tcPr>
          <w:p>
            <w:pPr>
              <w:spacing w:after="0" w:line="252" w:lineRule="auto"/>
            </w:pPr>
            <w:r>
              <w:rPr>
                <w:rFonts w:ascii="Calibri" w:hAnsi="Calibri" w:eastAsia="Calibri"/>
                <w:b/>
                <w:color w:val="0F172A"/>
                <w:sz w:val="18"/>
              </w:rPr>
              <w:t>Product investment</w:t>
            </w:r>
          </w:p>
        </w:tc>
        <w:tc>
          <w:tcPr>
            <w:tcW w:type="dxa" w:w="7160"/>
            <w:shd w:fill="F8FAFC"/>
          </w:tcPr>
          <w:p>
            <w:pPr>
              <w:spacing w:after="0" w:line="252" w:lineRule="auto"/>
            </w:pPr>
            <w:r>
              <w:rPr>
                <w:rFonts w:ascii="Calibri" w:hAnsi="Calibri" w:eastAsia="Calibri"/>
                <w:b w:val="0"/>
                <w:color w:val="0F172A"/>
                <w:sz w:val="18"/>
              </w:rPr>
              <w:t>Prioritize identity, temporal truth, impact, evidence, conformance and evaluation ahead of feature breadth.</w:t>
            </w:r>
          </w:p>
        </w:tc>
      </w:tr>
      <w:tr>
        <w:tc>
          <w:tcPr>
            <w:tcW w:type="dxa" w:w="2200"/>
          </w:tcPr>
          <w:p>
            <w:pPr>
              <w:spacing w:after="0" w:line="252" w:lineRule="auto"/>
            </w:pPr>
            <w:r>
              <w:rPr>
                <w:rFonts w:ascii="Calibri" w:hAnsi="Calibri" w:eastAsia="Calibri"/>
                <w:b/>
                <w:color w:val="0F172A"/>
                <w:sz w:val="18"/>
              </w:rPr>
              <w:t>Deployment posture</w:t>
            </w:r>
          </w:p>
        </w:tc>
        <w:tc>
          <w:tcPr>
            <w:tcW w:type="dxa" w:w="7160"/>
          </w:tcPr>
          <w:p>
            <w:pPr>
              <w:spacing w:after="0" w:line="252" w:lineRule="auto"/>
            </w:pPr>
            <w:r>
              <w:rPr>
                <w:rFonts w:ascii="Calibri" w:hAnsi="Calibri" w:eastAsia="Calibri"/>
                <w:b w:val="0"/>
                <w:color w:val="0F172A"/>
                <w:sz w:val="18"/>
              </w:rPr>
              <w:t>Adopt hybrid as the enterprise default, with managed and isolated profiles supported by the same contracts.</w:t>
            </w:r>
          </w:p>
        </w:tc>
      </w:tr>
      <w:tr>
        <w:tc>
          <w:tcPr>
            <w:tcW w:type="dxa" w:w="2200"/>
            <w:shd w:fill="F8FAFC"/>
          </w:tcPr>
          <w:p>
            <w:pPr>
              <w:spacing w:after="0" w:line="252" w:lineRule="auto"/>
            </w:pPr>
            <w:r>
              <w:rPr>
                <w:rFonts w:ascii="Calibri" w:hAnsi="Calibri" w:eastAsia="Calibri"/>
                <w:b/>
                <w:color w:val="0F172A"/>
                <w:sz w:val="18"/>
              </w:rPr>
              <w:t>Proof standard</w:t>
            </w:r>
          </w:p>
        </w:tc>
        <w:tc>
          <w:tcPr>
            <w:tcW w:type="dxa" w:w="7160"/>
            <w:shd w:fill="F8FAFC"/>
          </w:tcPr>
          <w:p>
            <w:pPr>
              <w:spacing w:after="0" w:line="252" w:lineRule="auto"/>
            </w:pPr>
            <w:r>
              <w:rPr>
                <w:rFonts w:ascii="Calibri" w:hAnsi="Calibri" w:eastAsia="Calibri"/>
                <w:b w:val="0"/>
                <w:color w:val="0F172A"/>
                <w:sz w:val="18"/>
              </w:rPr>
              <w:t>Require outcome-linked accuracy and quality measures before external claims of blast-radius or test-selection effectiveness.</w:t>
            </w:r>
          </w:p>
        </w:tc>
      </w:tr>
      <w:tr>
        <w:tc>
          <w:tcPr>
            <w:tcW w:type="dxa" w:w="2200"/>
          </w:tcPr>
          <w:p>
            <w:pPr>
              <w:spacing w:after="0" w:line="252" w:lineRule="auto"/>
            </w:pPr>
            <w:r>
              <w:rPr>
                <w:rFonts w:ascii="Calibri" w:hAnsi="Calibri" w:eastAsia="Calibri"/>
                <w:b/>
                <w:color w:val="0F172A"/>
                <w:sz w:val="18"/>
              </w:rPr>
              <w:t>Operating model</w:t>
            </w:r>
          </w:p>
        </w:tc>
        <w:tc>
          <w:tcPr>
            <w:tcW w:type="dxa" w:w="7160"/>
          </w:tcPr>
          <w:p>
            <w:pPr>
              <w:spacing w:after="0" w:line="252" w:lineRule="auto"/>
            </w:pPr>
            <w:r>
              <w:rPr>
                <w:rFonts w:ascii="Calibri" w:hAnsi="Calibri" w:eastAsia="Calibri"/>
                <w:b w:val="0"/>
                <w:color w:val="0F172A"/>
                <w:sz w:val="18"/>
              </w:rPr>
              <w:t>Create platform, ontology, provider, policy, evaluation and security ownership with explicit decision rights.</w:t>
            </w:r>
          </w:p>
        </w:tc>
      </w:tr>
      <w:tr>
        <w:tc>
          <w:tcPr>
            <w:tcW w:type="dxa" w:w="2200"/>
            <w:shd w:fill="F8FAFC"/>
          </w:tcPr>
          <w:p>
            <w:pPr>
              <w:spacing w:after="0" w:line="252" w:lineRule="auto"/>
            </w:pPr>
            <w:r>
              <w:rPr>
                <w:rFonts w:ascii="Calibri" w:hAnsi="Calibri" w:eastAsia="Calibri"/>
                <w:b/>
                <w:color w:val="0F172A"/>
                <w:sz w:val="18"/>
              </w:rPr>
              <w:t>Market strategy</w:t>
            </w:r>
          </w:p>
        </w:tc>
        <w:tc>
          <w:tcPr>
            <w:tcW w:type="dxa" w:w="7160"/>
            <w:shd w:fill="F8FAFC"/>
          </w:tcPr>
          <w:p>
            <w:pPr>
              <w:spacing w:after="0" w:line="252" w:lineRule="auto"/>
            </w:pPr>
            <w:r>
              <w:rPr>
                <w:rFonts w:ascii="Calibri" w:hAnsi="Calibri" w:eastAsia="Calibri"/>
                <w:b w:val="0"/>
                <w:color w:val="0F172A"/>
                <w:sz w:val="18"/>
              </w:rPr>
              <w:t>Recruit design partners whose diversity proves pluggability and whose historical data can calibrate impact intelligence.</w:t>
            </w:r>
          </w:p>
        </w:tc>
      </w:tr>
    </w:tbl>
    <w:p>
      <w:pPr>
        <w:spacing w:before="0" w:after="40"/>
      </w:pPr>
    </w:p>
    <w:p>
      <w:pPr>
        <w:pStyle w:val="Heading2"/>
      </w:pPr>
      <w:r>
        <w:t>What success looks like</w:t>
      </w:r>
    </w:p>
    <w:p>
      <w:pPr>
        <w:pStyle w:val="ListBullet"/>
        <w:spacing w:after="100"/>
      </w:pPr>
      <w:r>
        <w:rPr>
          <w:rFonts w:ascii="Calibri" w:hAnsi="Calibri" w:eastAsia="Calibri"/>
          <w:color w:val="0F172A"/>
        </w:rPr>
        <w:t>A developer can explain every selected test and every omitted test from the same revision-bound Impact Assessment.</w:t>
      </w:r>
    </w:p>
    <w:p>
      <w:pPr>
        <w:pStyle w:val="ListBullet"/>
        <w:spacing w:after="100"/>
      </w:pPr>
      <w:r>
        <w:rPr>
          <w:rFonts w:ascii="Calibri" w:hAnsi="Calibri" w:eastAsia="Calibri"/>
          <w:color w:val="0F172A"/>
        </w:rPr>
        <w:t>An auditor can reconstruct a release decision exactly as it was made, including evidence and policy versions.</w:t>
      </w:r>
    </w:p>
    <w:p>
      <w:pPr>
        <w:pStyle w:val="ListBullet"/>
        <w:spacing w:after="100"/>
      </w:pPr>
      <w:r>
        <w:rPr>
          <w:rFonts w:ascii="Calibri" w:hAnsi="Calibri" w:eastAsia="Calibri"/>
          <w:color w:val="0F172A"/>
        </w:rPr>
        <w:t>A client can replace a source-control, model, test or deployment provider without changing framework semantics.</w:t>
      </w:r>
    </w:p>
    <w:p>
      <w:pPr>
        <w:pStyle w:val="ListBullet"/>
        <w:spacing w:after="100"/>
      </w:pPr>
      <w:r>
        <w:rPr>
          <w:rFonts w:ascii="Calibri" w:hAnsi="Calibri" w:eastAsia="Calibri"/>
          <w:color w:val="0F172A"/>
        </w:rPr>
        <w:t>A new technology stack increases capability through a provider, while unsupported surfaces remain explicit.</w:t>
      </w:r>
    </w:p>
    <w:p>
      <w:pPr>
        <w:pStyle w:val="ListBullet"/>
        <w:spacing w:after="100"/>
      </w:pPr>
      <w:r>
        <w:rPr>
          <w:rFonts w:ascii="Calibri" w:hAnsi="Calibri" w:eastAsia="Calibri"/>
          <w:color w:val="0F172A"/>
        </w:rPr>
        <w:t>Operational outcomes improve impact and assurance models through measured, approved and reversible promotion.</w:t>
      </w:r>
    </w:p>
    <w:p>
      <w:pPr>
        <w:spacing w:before="360" w:after="0"/>
        <w:jc w:val="center"/>
        <w:shd w:fill="0B2545"/>
      </w:pPr>
      <w:r>
        <w:rPr>
          <w:rFonts w:ascii="Calibri" w:hAnsi="Calibri" w:eastAsia="Calibri"/>
          <w:b/>
          <w:color w:val="FFFFFF"/>
          <w:sz w:val="26"/>
        </w:rPr>
        <w:t>THE NORTH STAR</w:t>
        <w:br/>
        <w:t>Context before autonomy. Evidence before release. Explainability before scale.</w:t>
      </w:r>
    </w:p>
    <w:p>
      <w:r>
        <w:br w:type="page"/>
      </w:r>
    </w:p>
    <w:p>
      <w:pPr>
        <w:spacing w:after="80"/>
        <w:ind w:left="0" w:firstLine="0"/>
        <w:jc w:val="left"/>
      </w:pPr>
      <w:r>
        <w:rPr>
          <w:rFonts w:ascii="Calibri" w:hAnsi="Calibri" w:eastAsia="Calibri"/>
          <w:b/>
          <w:color w:val="0F766E"/>
          <w:sz w:val="19"/>
        </w:rPr>
        <w:t>APPENDIX A</w:t>
      </w:r>
    </w:p>
    <w:p>
      <w:pPr>
        <w:pStyle w:val="Heading1"/>
      </w:pPr>
      <w:r>
        <w:t>Core framework invariants</w:t>
      </w:r>
    </w:p>
    <w:p>
      <w:pPr>
        <w:pStyle w:val="ListNumber"/>
        <w:spacing w:after="100"/>
        <w:numPr>
          <w:ilvl w:val="0"/>
          <w:numId w:val="15"/>
        </w:numPr>
      </w:pPr>
      <w:r>
        <w:rPr>
          <w:rFonts w:ascii="Calibri" w:hAnsi="Calibri" w:eastAsia="Calibri"/>
          <w:color w:val="0F172A"/>
        </w:rPr>
        <w:t>Every operation is explicitly scoped to tenant, project and relevant immutable revisions.</w:t>
      </w:r>
    </w:p>
    <w:p>
      <w:pPr>
        <w:pStyle w:val="ListNumber"/>
        <w:spacing w:after="100"/>
        <w:numPr>
          <w:ilvl w:val="0"/>
          <w:numId w:val="15"/>
        </w:numPr>
      </w:pPr>
      <w:r>
        <w:rPr>
          <w:rFonts w:ascii="Calibri" w:hAnsi="Calibri" w:eastAsia="Calibri"/>
          <w:color w:val="0F172A"/>
        </w:rPr>
        <w:t>No historical assertion, execution result, artifact reference or policy decision is overwritten.</w:t>
      </w:r>
    </w:p>
    <w:p>
      <w:pPr>
        <w:pStyle w:val="ListNumber"/>
        <w:spacing w:after="100"/>
        <w:numPr>
          <w:ilvl w:val="0"/>
          <w:numId w:val="15"/>
        </w:numPr>
      </w:pPr>
      <w:r>
        <w:rPr>
          <w:rFonts w:ascii="Calibri" w:hAnsi="Calibri" w:eastAsia="Calibri"/>
          <w:color w:val="0F172A"/>
        </w:rPr>
        <w:t>Every active topology is a validated snapshot switched atomically with its projections.</w:t>
      </w:r>
    </w:p>
    <w:p>
      <w:pPr>
        <w:pStyle w:val="ListNumber"/>
        <w:spacing w:after="100"/>
        <w:numPr>
          <w:ilvl w:val="0"/>
          <w:numId w:val="15"/>
        </w:numPr>
      </w:pPr>
      <w:r>
        <w:rPr>
          <w:rFonts w:ascii="Calibri" w:hAnsi="Calibri" w:eastAsia="Calibri"/>
          <w:color w:val="0F172A"/>
        </w:rPr>
        <w:t>Every changed artifact is mapped, explicitly excluded or represented as an unknown.</w:t>
      </w:r>
    </w:p>
    <w:p>
      <w:pPr>
        <w:pStyle w:val="ListNumber"/>
        <w:spacing w:after="100"/>
        <w:numPr>
          <w:ilvl w:val="0"/>
          <w:numId w:val="15"/>
        </w:numPr>
      </w:pPr>
      <w:r>
        <w:rPr>
          <w:rFonts w:ascii="Calibri" w:hAnsi="Calibri" w:eastAsia="Calibri"/>
          <w:color w:val="0F172A"/>
        </w:rPr>
        <w:t>Every impact and obligation has at least one explanation path or an explicit policy rationale.</w:t>
      </w:r>
    </w:p>
    <w:p>
      <w:pPr>
        <w:pStyle w:val="ListNumber"/>
        <w:spacing w:after="100"/>
        <w:numPr>
          <w:ilvl w:val="0"/>
          <w:numId w:val="15"/>
        </w:numPr>
      </w:pPr>
      <w:r>
        <w:rPr>
          <w:rFonts w:ascii="Calibri" w:hAnsi="Calibri" w:eastAsia="Calibri"/>
          <w:color w:val="0F172A"/>
        </w:rPr>
        <w:t>Every provider is versioned, capability-declared, permission-scoped, observable and rollback-capable.</w:t>
      </w:r>
    </w:p>
    <w:p>
      <w:pPr>
        <w:pStyle w:val="ListNumber"/>
        <w:spacing w:after="100"/>
        <w:numPr>
          <w:ilvl w:val="0"/>
          <w:numId w:val="15"/>
        </w:numPr>
      </w:pPr>
      <w:r>
        <w:rPr>
          <w:rFonts w:ascii="Calibri" w:hAnsi="Calibri" w:eastAsia="Calibri"/>
          <w:color w:val="0F172A"/>
        </w:rPr>
        <w:t>Every consequential state transition is authorized by deterministic policy and, where required, named human authority.</w:t>
      </w:r>
    </w:p>
    <w:p>
      <w:pPr>
        <w:pStyle w:val="ListNumber"/>
        <w:spacing w:after="100"/>
        <w:numPr>
          <w:ilvl w:val="0"/>
          <w:numId w:val="15"/>
        </w:numPr>
      </w:pPr>
      <w:r>
        <w:rPr>
          <w:rFonts w:ascii="Calibri" w:hAnsi="Calibri" w:eastAsia="Calibri"/>
          <w:color w:val="0F172A"/>
        </w:rPr>
        <w:t>Every evidence item is attributable to a revision, execution attempt, environment and producer.</w:t>
      </w:r>
    </w:p>
    <w:p>
      <w:pPr>
        <w:pStyle w:val="ListNumber"/>
        <w:spacing w:after="100"/>
        <w:numPr>
          <w:ilvl w:val="0"/>
          <w:numId w:val="15"/>
        </w:numPr>
      </w:pPr>
      <w:r>
        <w:rPr>
          <w:rFonts w:ascii="Calibri" w:hAnsi="Calibri" w:eastAsia="Calibri"/>
          <w:color w:val="0F172A"/>
        </w:rPr>
        <w:t>Every learned change is evaluated, approved, versioned, canaried and reversible.</w:t>
      </w:r>
    </w:p>
    <w:p>
      <w:pPr>
        <w:pStyle w:val="ListNumber"/>
        <w:spacing w:after="100"/>
        <w:numPr>
          <w:ilvl w:val="0"/>
          <w:numId w:val="15"/>
        </w:numPr>
      </w:pPr>
      <w:r>
        <w:rPr>
          <w:rFonts w:ascii="Calibri" w:hAnsi="Calibri" w:eastAsia="Calibri"/>
          <w:color w:val="0F172A"/>
        </w:rPr>
        <w:t>Every client-specific learned artifact remains tenant-isolated unless explicitly governed for sharing.</w:t>
      </w:r>
    </w:p>
    <w:p>
      <w:pPr>
        <w:pStyle w:val="Heading2"/>
      </w:pPr>
      <w:r>
        <w:t>Minimum public service contracts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Service</w:t>
            </w:r>
          </w:p>
        </w:tc>
        <w:tc>
          <w:tcPr>
            <w:tcW w:type="dxa" w:w="71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Contract responsibility</w:t>
            </w:r>
          </w:p>
        </w:tc>
      </w:tr>
      <w:tr>
        <w:tc>
          <w:tcPr>
            <w:tcW w:type="dxa" w:w="2200"/>
          </w:tcPr>
          <w:p>
            <w:pPr>
              <w:spacing w:after="0" w:line="252" w:lineRule="auto"/>
            </w:pPr>
            <w:r>
              <w:rPr>
                <w:rFonts w:ascii="Calibri" w:hAnsi="Calibri" w:eastAsia="Calibri"/>
                <w:b/>
                <w:color w:val="0F172A"/>
                <w:sz w:val="17"/>
              </w:rPr>
              <w:t>Assertion Service</w:t>
            </w:r>
          </w:p>
        </w:tc>
        <w:tc>
          <w:tcPr>
            <w:tcW w:type="dxa" w:w="7160"/>
          </w:tcPr>
          <w:p>
            <w:pPr>
              <w:spacing w:after="0" w:line="252" w:lineRule="auto"/>
            </w:pPr>
            <w:r>
              <w:rPr>
                <w:rFonts w:ascii="Calibri" w:hAnsi="Calibri" w:eastAsia="Calibri"/>
                <w:b w:val="0"/>
                <w:color w:val="0F172A"/>
                <w:sz w:val="17"/>
              </w:rPr>
              <w:t>Append, supersede and retract typed assertions; validate provenance and authorization.</w:t>
            </w:r>
          </w:p>
        </w:tc>
      </w:tr>
      <w:tr>
        <w:tc>
          <w:tcPr>
            <w:tcW w:type="dxa" w:w="2200"/>
            <w:shd w:fill="F8FAFC"/>
          </w:tcPr>
          <w:p>
            <w:pPr>
              <w:spacing w:after="0" w:line="252" w:lineRule="auto"/>
            </w:pPr>
            <w:r>
              <w:rPr>
                <w:rFonts w:ascii="Calibri" w:hAnsi="Calibri" w:eastAsia="Calibri"/>
                <w:b/>
                <w:color w:val="0F172A"/>
                <w:sz w:val="17"/>
              </w:rPr>
              <w:t>Snapshot Service</w:t>
            </w:r>
          </w:p>
        </w:tc>
        <w:tc>
          <w:tcPr>
            <w:tcW w:type="dxa" w:w="7160"/>
            <w:shd w:fill="F8FAFC"/>
          </w:tcPr>
          <w:p>
            <w:pPr>
              <w:spacing w:after="0" w:line="252" w:lineRule="auto"/>
            </w:pPr>
            <w:r>
              <w:rPr>
                <w:rFonts w:ascii="Calibri" w:hAnsi="Calibri" w:eastAsia="Calibri"/>
                <w:b w:val="0"/>
                <w:color w:val="0F172A"/>
                <w:sz w:val="17"/>
              </w:rPr>
              <w:t>Build, validate, activate, resolve and compare topology snapshots.</w:t>
            </w:r>
          </w:p>
        </w:tc>
      </w:tr>
      <w:tr>
        <w:tc>
          <w:tcPr>
            <w:tcW w:type="dxa" w:w="2200"/>
          </w:tcPr>
          <w:p>
            <w:pPr>
              <w:spacing w:after="0" w:line="252" w:lineRule="auto"/>
            </w:pPr>
            <w:r>
              <w:rPr>
                <w:rFonts w:ascii="Calibri" w:hAnsi="Calibri" w:eastAsia="Calibri"/>
                <w:b/>
                <w:color w:val="0F172A"/>
                <w:sz w:val="17"/>
              </w:rPr>
              <w:t>Context Query Service</w:t>
            </w:r>
          </w:p>
        </w:tc>
        <w:tc>
          <w:tcPr>
            <w:tcW w:type="dxa" w:w="7160"/>
          </w:tcPr>
          <w:p>
            <w:pPr>
              <w:spacing w:after="0" w:line="252" w:lineRule="auto"/>
            </w:pPr>
            <w:r>
              <w:rPr>
                <w:rFonts w:ascii="Calibri" w:hAnsi="Calibri" w:eastAsia="Calibri"/>
                <w:b w:val="0"/>
                <w:color w:val="0F172A"/>
                <w:sz w:val="17"/>
              </w:rPr>
              <w:t>Entity, path, trace, as-of and hybrid retrieval queries with quality qualifiers.</w:t>
            </w:r>
          </w:p>
        </w:tc>
      </w:tr>
      <w:tr>
        <w:tc>
          <w:tcPr>
            <w:tcW w:type="dxa" w:w="2200"/>
            <w:shd w:fill="F8FAFC"/>
          </w:tcPr>
          <w:p>
            <w:pPr>
              <w:spacing w:after="0" w:line="252" w:lineRule="auto"/>
            </w:pPr>
            <w:r>
              <w:rPr>
                <w:rFonts w:ascii="Calibri" w:hAnsi="Calibri" w:eastAsia="Calibri"/>
                <w:b/>
                <w:color w:val="0F172A"/>
                <w:sz w:val="17"/>
              </w:rPr>
              <w:t>Impact Service</w:t>
            </w:r>
          </w:p>
        </w:tc>
        <w:tc>
          <w:tcPr>
            <w:tcW w:type="dxa" w:w="7160"/>
            <w:shd w:fill="F8FAFC"/>
          </w:tcPr>
          <w:p>
            <w:pPr>
              <w:spacing w:after="0" w:line="252" w:lineRule="auto"/>
            </w:pPr>
            <w:r>
              <w:rPr>
                <w:rFonts w:ascii="Calibri" w:hAnsi="Calibri" w:eastAsia="Calibri"/>
                <w:b w:val="0"/>
                <w:color w:val="0F172A"/>
                <w:sz w:val="17"/>
              </w:rPr>
              <w:t>Create, retrieve, compare and explain immutable Impact Assessments.</w:t>
            </w:r>
          </w:p>
        </w:tc>
      </w:tr>
      <w:tr>
        <w:tc>
          <w:tcPr>
            <w:tcW w:type="dxa" w:w="2200"/>
          </w:tcPr>
          <w:p>
            <w:pPr>
              <w:spacing w:after="0" w:line="252" w:lineRule="auto"/>
            </w:pPr>
            <w:r>
              <w:rPr>
                <w:rFonts w:ascii="Calibri" w:hAnsi="Calibri" w:eastAsia="Calibri"/>
                <w:b/>
                <w:color w:val="0F172A"/>
                <w:sz w:val="17"/>
              </w:rPr>
              <w:t>Evidence Service</w:t>
            </w:r>
          </w:p>
        </w:tc>
        <w:tc>
          <w:tcPr>
            <w:tcW w:type="dxa" w:w="7160"/>
          </w:tcPr>
          <w:p>
            <w:pPr>
              <w:spacing w:after="0" w:line="252" w:lineRule="auto"/>
            </w:pPr>
            <w:r>
              <w:rPr>
                <w:rFonts w:ascii="Calibri" w:hAnsi="Calibri" w:eastAsia="Calibri"/>
                <w:b w:val="0"/>
                <w:color w:val="0F172A"/>
                <w:sz w:val="17"/>
              </w:rPr>
              <w:t>Register execution attempts, evidence, artifacts, defects, overrides and attestations.</w:t>
            </w:r>
          </w:p>
        </w:tc>
      </w:tr>
      <w:tr>
        <w:tc>
          <w:tcPr>
            <w:tcW w:type="dxa" w:w="2200"/>
            <w:shd w:fill="F8FAFC"/>
          </w:tcPr>
          <w:p>
            <w:pPr>
              <w:spacing w:after="0" w:line="252" w:lineRule="auto"/>
            </w:pPr>
            <w:r>
              <w:rPr>
                <w:rFonts w:ascii="Calibri" w:hAnsi="Calibri" w:eastAsia="Calibri"/>
                <w:b/>
                <w:color w:val="0F172A"/>
                <w:sz w:val="17"/>
              </w:rPr>
              <w:t>Policy Decision Service</w:t>
            </w:r>
          </w:p>
        </w:tc>
        <w:tc>
          <w:tcPr>
            <w:tcW w:type="dxa" w:w="7160"/>
            <w:shd w:fill="F8FAFC"/>
          </w:tcPr>
          <w:p>
            <w:pPr>
              <w:spacing w:after="0" w:line="252" w:lineRule="auto"/>
            </w:pPr>
            <w:r>
              <w:rPr>
                <w:rFonts w:ascii="Calibri" w:hAnsi="Calibri" w:eastAsia="Calibri"/>
                <w:b w:val="0"/>
                <w:color w:val="0F172A"/>
                <w:sz w:val="17"/>
              </w:rPr>
              <w:t>Evaluate and record versioned decisions with complete inputs and authority.</w:t>
            </w:r>
          </w:p>
        </w:tc>
      </w:tr>
      <w:tr>
        <w:tc>
          <w:tcPr>
            <w:tcW w:type="dxa" w:w="2200"/>
          </w:tcPr>
          <w:p>
            <w:pPr>
              <w:spacing w:after="0" w:line="252" w:lineRule="auto"/>
            </w:pPr>
            <w:r>
              <w:rPr>
                <w:rFonts w:ascii="Calibri" w:hAnsi="Calibri" w:eastAsia="Calibri"/>
                <w:b/>
                <w:color w:val="0F172A"/>
                <w:sz w:val="17"/>
              </w:rPr>
              <w:t>Provider Registry</w:t>
            </w:r>
          </w:p>
        </w:tc>
        <w:tc>
          <w:tcPr>
            <w:tcW w:type="dxa" w:w="7160"/>
          </w:tcPr>
          <w:p>
            <w:pPr>
              <w:spacing w:after="0" w:line="252" w:lineRule="auto"/>
            </w:pPr>
            <w:r>
              <w:rPr>
                <w:rFonts w:ascii="Calibri" w:hAnsi="Calibri" w:eastAsia="Calibri"/>
                <w:b w:val="0"/>
                <w:color w:val="0F172A"/>
                <w:sz w:val="17"/>
              </w:rPr>
              <w:t>Register capabilities, conformance, configuration, health, activation and rollback.</w:t>
            </w:r>
          </w:p>
        </w:tc>
      </w:tr>
      <w:tr>
        <w:tc>
          <w:tcPr>
            <w:tcW w:type="dxa" w:w="2200"/>
            <w:shd w:fill="F8FAFC"/>
          </w:tcPr>
          <w:p>
            <w:pPr>
              <w:spacing w:after="0" w:line="252" w:lineRule="auto"/>
            </w:pPr>
            <w:r>
              <w:rPr>
                <w:rFonts w:ascii="Calibri" w:hAnsi="Calibri" w:eastAsia="Calibri"/>
                <w:b/>
                <w:color w:val="0F172A"/>
                <w:sz w:val="17"/>
              </w:rPr>
              <w:t>Evaluation Service</w:t>
            </w:r>
          </w:p>
        </w:tc>
        <w:tc>
          <w:tcPr>
            <w:tcW w:type="dxa" w:w="7160"/>
            <w:shd w:fill="F8FAFC"/>
          </w:tcPr>
          <w:p>
            <w:pPr>
              <w:spacing w:after="0" w:line="252" w:lineRule="auto"/>
            </w:pPr>
            <w:r>
              <w:rPr>
                <w:rFonts w:ascii="Calibri" w:hAnsi="Calibri" w:eastAsia="Calibri"/>
                <w:b w:val="0"/>
                <w:color w:val="0F172A"/>
                <w:sz w:val="17"/>
              </w:rPr>
              <w:t>Manage datasets, replay, metrics, champion/challenger results and promotion evidence.</w:t>
            </w:r>
          </w:p>
        </w:tc>
      </w:tr>
    </w:tbl>
    <w:p>
      <w:pPr>
        <w:spacing w:before="0" w:after="40"/>
      </w:pPr>
    </w:p>
    <w:p>
      <w:r>
        <w:br w:type="page"/>
      </w:r>
    </w:p>
    <w:p>
      <w:pPr>
        <w:spacing w:after="80"/>
        <w:ind w:left="0" w:firstLine="0"/>
        <w:jc w:val="left"/>
      </w:pPr>
      <w:r>
        <w:rPr>
          <w:rFonts w:ascii="Calibri" w:hAnsi="Calibri" w:eastAsia="Calibri"/>
          <w:b/>
          <w:color w:val="0F766E"/>
          <w:sz w:val="19"/>
        </w:rPr>
        <w:t>APPENDIX B</w:t>
      </w:r>
    </w:p>
    <w:p>
      <w:pPr>
        <w:pStyle w:val="Heading1"/>
      </w:pPr>
      <w:r>
        <w:t>Representative event vocabulary</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00"/>
        <w:gridCol w:w="6160"/>
      </w:tblGrid>
      <w:tr>
        <w:trPr>
          <w:tblHeader w:val="true"/>
        </w:trPr>
        <w:tc>
          <w:tcPr>
            <w:tcW w:type="dxa" w:w="320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Event</w:t>
            </w:r>
          </w:p>
        </w:tc>
        <w:tc>
          <w:tcPr>
            <w:tcW w:type="dxa" w:w="6160"/>
            <w:vAlign w:val="center"/>
            <w:tcMar>
              <w:top w:w="80" w:type="dxa"/>
              <w:start w:w="120" w:type="dxa"/>
              <w:bottom w:w="80" w:type="dxa"/>
              <w:end w:w="120" w:type="dxa"/>
            </w:tcMar>
            <w:shd w:fill="0B2545"/>
          </w:tcPr>
          <w:p>
            <w:pPr>
              <w:spacing w:after="0"/>
              <w:jc w:val="left"/>
            </w:pPr>
            <w:r>
              <w:rPr>
                <w:rFonts w:ascii="Calibri" w:hAnsi="Calibri" w:eastAsia="Calibri"/>
                <w:b/>
                <w:color w:val="FFFFFF"/>
                <w:sz w:val="18"/>
              </w:rPr>
              <w:t>Meaning</w:t>
            </w:r>
          </w:p>
        </w:tc>
      </w:tr>
      <w:tr>
        <w:tc>
          <w:tcPr>
            <w:tcW w:type="dxa" w:w="3200"/>
          </w:tcPr>
          <w:p>
            <w:pPr>
              <w:spacing w:after="0" w:line="252" w:lineRule="auto"/>
            </w:pPr>
            <w:r>
              <w:rPr>
                <w:rFonts w:ascii="Calibri" w:hAnsi="Calibri" w:eastAsia="Calibri"/>
                <w:b/>
                <w:color w:val="0F172A"/>
                <w:sz w:val="17"/>
              </w:rPr>
              <w:t>ContextAssertionAppended</w:t>
            </w:r>
          </w:p>
        </w:tc>
        <w:tc>
          <w:tcPr>
            <w:tcW w:type="dxa" w:w="6160"/>
          </w:tcPr>
          <w:p>
            <w:pPr>
              <w:spacing w:after="0" w:line="252" w:lineRule="auto"/>
            </w:pPr>
            <w:r>
              <w:rPr>
                <w:rFonts w:ascii="Calibri" w:hAnsi="Calibri" w:eastAsia="Calibri"/>
                <w:b w:val="0"/>
                <w:color w:val="0F172A"/>
                <w:sz w:val="17"/>
              </w:rPr>
              <w:t>A validated assertion entered the immutable ledger</w:t>
            </w:r>
          </w:p>
        </w:tc>
      </w:tr>
      <w:tr>
        <w:tc>
          <w:tcPr>
            <w:tcW w:type="dxa" w:w="3200"/>
            <w:shd w:fill="F8FAFC"/>
          </w:tcPr>
          <w:p>
            <w:pPr>
              <w:spacing w:after="0" w:line="252" w:lineRule="auto"/>
            </w:pPr>
            <w:r>
              <w:rPr>
                <w:rFonts w:ascii="Calibri" w:hAnsi="Calibri" w:eastAsia="Calibri"/>
                <w:b/>
                <w:color w:val="0F172A"/>
                <w:sz w:val="17"/>
              </w:rPr>
              <w:t>TopologySnapshotBuilt</w:t>
            </w:r>
          </w:p>
        </w:tc>
        <w:tc>
          <w:tcPr>
            <w:tcW w:type="dxa" w:w="6160"/>
            <w:shd w:fill="F8FAFC"/>
          </w:tcPr>
          <w:p>
            <w:pPr>
              <w:spacing w:after="0" w:line="252" w:lineRule="auto"/>
            </w:pPr>
            <w:r>
              <w:rPr>
                <w:rFonts w:ascii="Calibri" w:hAnsi="Calibri" w:eastAsia="Calibri"/>
                <w:b w:val="0"/>
                <w:color w:val="0F172A"/>
                <w:sz w:val="17"/>
              </w:rPr>
              <w:t>Candidate snapshot and projection manifests are complete</w:t>
            </w:r>
          </w:p>
        </w:tc>
      </w:tr>
      <w:tr>
        <w:tc>
          <w:tcPr>
            <w:tcW w:type="dxa" w:w="3200"/>
          </w:tcPr>
          <w:p>
            <w:pPr>
              <w:spacing w:after="0" w:line="252" w:lineRule="auto"/>
            </w:pPr>
            <w:r>
              <w:rPr>
                <w:rFonts w:ascii="Calibri" w:hAnsi="Calibri" w:eastAsia="Calibri"/>
                <w:b/>
                <w:color w:val="0F172A"/>
                <w:sz w:val="17"/>
              </w:rPr>
              <w:t>TopologySnapshotActivated</w:t>
            </w:r>
          </w:p>
        </w:tc>
        <w:tc>
          <w:tcPr>
            <w:tcW w:type="dxa" w:w="6160"/>
          </w:tcPr>
          <w:p>
            <w:pPr>
              <w:spacing w:after="0" w:line="252" w:lineRule="auto"/>
            </w:pPr>
            <w:r>
              <w:rPr>
                <w:rFonts w:ascii="Calibri" w:hAnsi="Calibri" w:eastAsia="Calibri"/>
                <w:b w:val="0"/>
                <w:color w:val="0F172A"/>
                <w:sz w:val="17"/>
              </w:rPr>
              <w:t>The project active pointer moved atomically</w:t>
            </w:r>
          </w:p>
        </w:tc>
      </w:tr>
      <w:tr>
        <w:tc>
          <w:tcPr>
            <w:tcW w:type="dxa" w:w="3200"/>
            <w:shd w:fill="F8FAFC"/>
          </w:tcPr>
          <w:p>
            <w:pPr>
              <w:spacing w:after="0" w:line="252" w:lineRule="auto"/>
            </w:pPr>
            <w:r>
              <w:rPr>
                <w:rFonts w:ascii="Calibri" w:hAnsi="Calibri" w:eastAsia="Calibri"/>
                <w:b/>
                <w:color w:val="0F172A"/>
                <w:sz w:val="17"/>
              </w:rPr>
              <w:t>ChangeSetResolved</w:t>
            </w:r>
          </w:p>
        </w:tc>
        <w:tc>
          <w:tcPr>
            <w:tcW w:type="dxa" w:w="6160"/>
            <w:shd w:fill="F8FAFC"/>
          </w:tcPr>
          <w:p>
            <w:pPr>
              <w:spacing w:after="0" w:line="252" w:lineRule="auto"/>
            </w:pPr>
            <w:r>
              <w:rPr>
                <w:rFonts w:ascii="Calibri" w:hAnsi="Calibri" w:eastAsia="Calibri"/>
                <w:b w:val="0"/>
                <w:color w:val="0F172A"/>
                <w:sz w:val="17"/>
              </w:rPr>
              <w:t>Base/head differences were semantically normalized</w:t>
            </w:r>
          </w:p>
        </w:tc>
      </w:tr>
      <w:tr>
        <w:tc>
          <w:tcPr>
            <w:tcW w:type="dxa" w:w="3200"/>
          </w:tcPr>
          <w:p>
            <w:pPr>
              <w:spacing w:after="0" w:line="252" w:lineRule="auto"/>
            </w:pPr>
            <w:r>
              <w:rPr>
                <w:rFonts w:ascii="Calibri" w:hAnsi="Calibri" w:eastAsia="Calibri"/>
                <w:b/>
                <w:color w:val="0F172A"/>
                <w:sz w:val="17"/>
              </w:rPr>
              <w:t>ImpactAssessmentCreated</w:t>
            </w:r>
          </w:p>
        </w:tc>
        <w:tc>
          <w:tcPr>
            <w:tcW w:type="dxa" w:w="6160"/>
          </w:tcPr>
          <w:p>
            <w:pPr>
              <w:spacing w:after="0" w:line="252" w:lineRule="auto"/>
            </w:pPr>
            <w:r>
              <w:rPr>
                <w:rFonts w:ascii="Calibri" w:hAnsi="Calibri" w:eastAsia="Calibri"/>
                <w:b w:val="0"/>
                <w:color w:val="0F172A"/>
                <w:sz w:val="17"/>
              </w:rPr>
              <w:t>Canonical explained impact and obligations are immutable</w:t>
            </w:r>
          </w:p>
        </w:tc>
      </w:tr>
      <w:tr>
        <w:tc>
          <w:tcPr>
            <w:tcW w:type="dxa" w:w="3200"/>
            <w:shd w:fill="F8FAFC"/>
          </w:tcPr>
          <w:p>
            <w:pPr>
              <w:spacing w:after="0" w:line="252" w:lineRule="auto"/>
            </w:pPr>
            <w:r>
              <w:rPr>
                <w:rFonts w:ascii="Calibri" w:hAnsi="Calibri" w:eastAsia="Calibri"/>
                <w:b/>
                <w:color w:val="0F172A"/>
                <w:sz w:val="17"/>
              </w:rPr>
              <w:t>WorkOrderAuthorized</w:t>
            </w:r>
          </w:p>
        </w:tc>
        <w:tc>
          <w:tcPr>
            <w:tcW w:type="dxa" w:w="6160"/>
            <w:shd w:fill="F8FAFC"/>
          </w:tcPr>
          <w:p>
            <w:pPr>
              <w:spacing w:after="0" w:line="252" w:lineRule="auto"/>
            </w:pPr>
            <w:r>
              <w:rPr>
                <w:rFonts w:ascii="Calibri" w:hAnsi="Calibri" w:eastAsia="Calibri"/>
                <w:b w:val="0"/>
                <w:color w:val="0F172A"/>
                <w:sz w:val="17"/>
              </w:rPr>
              <w:t>Policy and authority permitted bounded execution</w:t>
            </w:r>
          </w:p>
        </w:tc>
      </w:tr>
      <w:tr>
        <w:tc>
          <w:tcPr>
            <w:tcW w:type="dxa" w:w="3200"/>
          </w:tcPr>
          <w:p>
            <w:pPr>
              <w:spacing w:after="0" w:line="252" w:lineRule="auto"/>
            </w:pPr>
            <w:r>
              <w:rPr>
                <w:rFonts w:ascii="Calibri" w:hAnsi="Calibri" w:eastAsia="Calibri"/>
                <w:b/>
                <w:color w:val="0F172A"/>
                <w:sz w:val="17"/>
              </w:rPr>
              <w:t>ExecutionAttemptCompleted</w:t>
            </w:r>
          </w:p>
        </w:tc>
        <w:tc>
          <w:tcPr>
            <w:tcW w:type="dxa" w:w="6160"/>
          </w:tcPr>
          <w:p>
            <w:pPr>
              <w:spacing w:after="0" w:line="252" w:lineRule="auto"/>
            </w:pPr>
            <w:r>
              <w:rPr>
                <w:rFonts w:ascii="Calibri" w:hAnsi="Calibri" w:eastAsia="Calibri"/>
                <w:b w:val="0"/>
                <w:color w:val="0F172A"/>
                <w:sz w:val="17"/>
              </w:rPr>
              <w:t>A revision-bound attempt produced a signed outcome</w:t>
            </w:r>
          </w:p>
        </w:tc>
      </w:tr>
      <w:tr>
        <w:tc>
          <w:tcPr>
            <w:tcW w:type="dxa" w:w="3200"/>
            <w:shd w:fill="F8FAFC"/>
          </w:tcPr>
          <w:p>
            <w:pPr>
              <w:spacing w:after="0" w:line="252" w:lineRule="auto"/>
            </w:pPr>
            <w:r>
              <w:rPr>
                <w:rFonts w:ascii="Calibri" w:hAnsi="Calibri" w:eastAsia="Calibri"/>
                <w:b/>
                <w:color w:val="0F172A"/>
                <w:sz w:val="17"/>
              </w:rPr>
              <w:t>EvidenceObservationRecorded</w:t>
            </w:r>
          </w:p>
        </w:tc>
        <w:tc>
          <w:tcPr>
            <w:tcW w:type="dxa" w:w="6160"/>
            <w:shd w:fill="F8FAFC"/>
          </w:tcPr>
          <w:p>
            <w:pPr>
              <w:spacing w:after="0" w:line="252" w:lineRule="auto"/>
            </w:pPr>
            <w:r>
              <w:rPr>
                <w:rFonts w:ascii="Calibri" w:hAnsi="Calibri" w:eastAsia="Calibri"/>
                <w:b w:val="0"/>
                <w:color w:val="0F172A"/>
                <w:sz w:val="17"/>
              </w:rPr>
              <w:t>Observed proof or defect was linked to relevant entities</w:t>
            </w:r>
          </w:p>
        </w:tc>
      </w:tr>
      <w:tr>
        <w:tc>
          <w:tcPr>
            <w:tcW w:type="dxa" w:w="3200"/>
          </w:tcPr>
          <w:p>
            <w:pPr>
              <w:spacing w:after="0" w:line="252" w:lineRule="auto"/>
            </w:pPr>
            <w:r>
              <w:rPr>
                <w:rFonts w:ascii="Calibri" w:hAnsi="Calibri" w:eastAsia="Calibri"/>
                <w:b/>
                <w:color w:val="0F172A"/>
                <w:sz w:val="17"/>
              </w:rPr>
              <w:t>PolicyDecisionRecorded</w:t>
            </w:r>
          </w:p>
        </w:tc>
        <w:tc>
          <w:tcPr>
            <w:tcW w:type="dxa" w:w="6160"/>
          </w:tcPr>
          <w:p>
            <w:pPr>
              <w:spacing w:after="0" w:line="252" w:lineRule="auto"/>
            </w:pPr>
            <w:r>
              <w:rPr>
                <w:rFonts w:ascii="Calibri" w:hAnsi="Calibri" w:eastAsia="Calibri"/>
                <w:b w:val="0"/>
                <w:color w:val="0F172A"/>
                <w:sz w:val="17"/>
              </w:rPr>
              <w:t>A deterministic gate or exception was persisted</w:t>
            </w:r>
          </w:p>
        </w:tc>
      </w:tr>
      <w:tr>
        <w:tc>
          <w:tcPr>
            <w:tcW w:type="dxa" w:w="3200"/>
            <w:shd w:fill="F8FAFC"/>
          </w:tcPr>
          <w:p>
            <w:pPr>
              <w:spacing w:after="0" w:line="252" w:lineRule="auto"/>
            </w:pPr>
            <w:r>
              <w:rPr>
                <w:rFonts w:ascii="Calibri" w:hAnsi="Calibri" w:eastAsia="Calibri"/>
                <w:b/>
                <w:color w:val="0F172A"/>
                <w:sz w:val="17"/>
              </w:rPr>
              <w:t>ReleaseAttested</w:t>
            </w:r>
          </w:p>
        </w:tc>
        <w:tc>
          <w:tcPr>
            <w:tcW w:type="dxa" w:w="6160"/>
            <w:shd w:fill="F8FAFC"/>
          </w:tcPr>
          <w:p>
            <w:pPr>
              <w:spacing w:after="0" w:line="252" w:lineRule="auto"/>
            </w:pPr>
            <w:r>
              <w:rPr>
                <w:rFonts w:ascii="Calibri" w:hAnsi="Calibri" w:eastAsia="Calibri"/>
                <w:b w:val="0"/>
                <w:color w:val="0F172A"/>
                <w:sz w:val="17"/>
              </w:rPr>
              <w:t>Approved artifact, environment and evidence were bound</w:t>
            </w:r>
          </w:p>
        </w:tc>
      </w:tr>
      <w:tr>
        <w:tc>
          <w:tcPr>
            <w:tcW w:type="dxa" w:w="3200"/>
          </w:tcPr>
          <w:p>
            <w:pPr>
              <w:spacing w:after="0" w:line="252" w:lineRule="auto"/>
            </w:pPr>
            <w:r>
              <w:rPr>
                <w:rFonts w:ascii="Calibri" w:hAnsi="Calibri" w:eastAsia="Calibri"/>
                <w:b/>
                <w:color w:val="0F172A"/>
                <w:sz w:val="17"/>
              </w:rPr>
              <w:t>OutcomeAttributed</w:t>
            </w:r>
          </w:p>
        </w:tc>
        <w:tc>
          <w:tcPr>
            <w:tcW w:type="dxa" w:w="6160"/>
          </w:tcPr>
          <w:p>
            <w:pPr>
              <w:spacing w:after="0" w:line="252" w:lineRule="auto"/>
            </w:pPr>
            <w:r>
              <w:rPr>
                <w:rFonts w:ascii="Calibri" w:hAnsi="Calibri" w:eastAsia="Calibri"/>
                <w:b w:val="0"/>
                <w:color w:val="0F172A"/>
                <w:sz w:val="17"/>
              </w:rPr>
              <w:t>Incident, escape, rollback or override was linked to prior decisions</w:t>
            </w:r>
          </w:p>
        </w:tc>
      </w:tr>
      <w:tr>
        <w:tc>
          <w:tcPr>
            <w:tcW w:type="dxa" w:w="3200"/>
            <w:shd w:fill="F8FAFC"/>
          </w:tcPr>
          <w:p>
            <w:pPr>
              <w:spacing w:after="0" w:line="252" w:lineRule="auto"/>
            </w:pPr>
            <w:r>
              <w:rPr>
                <w:rFonts w:ascii="Calibri" w:hAnsi="Calibri" w:eastAsia="Calibri"/>
                <w:b/>
                <w:color w:val="0F172A"/>
                <w:sz w:val="17"/>
              </w:rPr>
              <w:t>CandidatePromotionApproved</w:t>
            </w:r>
          </w:p>
        </w:tc>
        <w:tc>
          <w:tcPr>
            <w:tcW w:type="dxa" w:w="6160"/>
            <w:shd w:fill="F8FAFC"/>
          </w:tcPr>
          <w:p>
            <w:pPr>
              <w:spacing w:after="0" w:line="252" w:lineRule="auto"/>
            </w:pPr>
            <w:r>
              <w:rPr>
                <w:rFonts w:ascii="Calibri" w:hAnsi="Calibri" w:eastAsia="Calibri"/>
                <w:b w:val="0"/>
                <w:color w:val="0F172A"/>
                <w:sz w:val="17"/>
              </w:rPr>
              <w:t>A measured configuration/provider/policy version was authorized</w:t>
            </w:r>
          </w:p>
        </w:tc>
      </w:tr>
    </w:tbl>
    <w:p>
      <w:pPr>
        <w:spacing w:before="0" w:after="40"/>
      </w:pPr>
    </w:p>
    <w:p>
      <w:pPr>
        <w:keepLines/>
        <w:spacing w:before="100" w:after="200"/>
        <w:ind w:left="202" w:right="144"/>
        <w:shd w:fill="FFF7ED"/>
        <w:pBdr>
          <w:left w:val="single" w:sz="22" w:space="8" w:color="D97706"/>
        </w:pBdr>
      </w:pPr>
      <w:r>
        <w:rPr>
          <w:rFonts w:ascii="Calibri" w:hAnsi="Calibri" w:eastAsia="Calibri"/>
          <w:b/>
          <w:color w:val="D97706"/>
          <w:sz w:val="18"/>
        </w:rPr>
        <w:t xml:space="preserve">EVENT RULE  </w:t>
      </w:r>
      <w:r>
        <w:rPr>
          <w:rFonts w:ascii="Calibri" w:hAnsi="Calibri" w:eastAsia="Calibri"/>
          <w:b w:val="0"/>
          <w:color w:val="0F172A"/>
          <w:sz w:val="20"/>
        </w:rPr>
        <w:t>Events carry identifiers and evidence references, not unrestricted source content or credentials. Payload classification and residency are enforced by project policy.</w:t>
      </w:r>
    </w:p>
    <w:sectPr w:rsidR="00FC693F" w:rsidRPr="0006063C" w:rsidSect="00034616">
      <w:headerReference w:type="default" r:id="rId49"/>
      <w:footerReference w:type="default" r:id="rId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3968"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
      <w:rPr>
        <w:rFonts w:ascii="Calibri" w:hAnsi="Calibri" w:eastAsia="Calibri"/>
        <w:color w:val="64748B"/>
        <w:sz w:val="16"/>
      </w:rPr>
      <w:t>Leadership Review | Future-State Vision</w:t>
    </w:r>
    <w:r>
      <w:tab/>
    </w:r>
    <w:r>
      <w:rPr>
        <w:rFonts w:ascii="Calibri" w:hAnsi="Calibri" w:eastAsia="Calibri"/>
        <w:color w:val="64748B"/>
        <w:sz w:val="16"/>
      </w:rPr>
      <w:t xml:space="preserve">Page </w:t>
    </w:r>
    <w:r>
      <w:rPr>
        <w:rFonts w:ascii="Calibri" w:hAnsi="Calibri" w:eastAsia="Calibri"/>
        <w:color w:val="64748B"/>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3968"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5" w:space="4" w:color="CBD5E1"/>
      </w:pBdr>
    </w:pPr>
    <w:r/>
    <w:r>
      <w:rPr>
        <w:rFonts w:ascii="Calibri" w:hAnsi="Calibri" w:eastAsia="Calibri"/>
        <w:b/>
        <w:color w:val="64748B"/>
        <w:sz w:val="16"/>
      </w:rPr>
      <w:t>AGENTIC PDLC CONTEXT FRAMEWORK</w:t>
    </w:r>
    <w:r>
      <w:tab/>
    </w:r>
    <w:r>
      <w:rPr>
        <w:rFonts w:ascii="Calibri" w:hAnsi="Calibri" w:eastAsia="Calibri"/>
        <w:color w:val="64748B"/>
        <w:sz w:val="16"/>
      </w:rPr>
      <w:t>TARGET-STATE REFERENCE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image" Target="media/image4.png"/><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image" Target="media/image5.png"/><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image" Target="media/image6.png"/><Relationship Id="rId39" Type="http://schemas.openxmlformats.org/officeDocument/2006/relationships/header" Target="header13.xml"/><Relationship Id="rId40" Type="http://schemas.openxmlformats.org/officeDocument/2006/relationships/footer" Target="footer13.xml"/><Relationship Id="rId41" Type="http://schemas.openxmlformats.org/officeDocument/2006/relationships/header" Target="header14.xml"/><Relationship Id="rId42" Type="http://schemas.openxmlformats.org/officeDocument/2006/relationships/footer" Target="footer14.xml"/><Relationship Id="rId43" Type="http://schemas.openxmlformats.org/officeDocument/2006/relationships/image" Target="media/image7.png"/><Relationship Id="rId44" Type="http://schemas.openxmlformats.org/officeDocument/2006/relationships/header" Target="header15.xml"/><Relationship Id="rId45" Type="http://schemas.openxmlformats.org/officeDocument/2006/relationships/footer" Target="footer15.xml"/><Relationship Id="rId46" Type="http://schemas.openxmlformats.org/officeDocument/2006/relationships/header" Target="header16.xml"/><Relationship Id="rId47" Type="http://schemas.openxmlformats.org/officeDocument/2006/relationships/footer" Target="footer16.xml"/><Relationship Id="rId48" Type="http://schemas.openxmlformats.org/officeDocument/2006/relationships/image" Target="media/image8.png"/><Relationship Id="rId49" Type="http://schemas.openxmlformats.org/officeDocument/2006/relationships/header" Target="header17.xml"/><Relationship Id="rId50"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PDLC Context Framework - Target-State Reference Architecture</dc:title>
  <dc:subject>Future-state, vendor-neutral architecture for governed agentic product delivery</dc:subject>
  <dc:creator>Enterprise Architecture</dc:creator>
  <cp:keywords>Agentic PDLC, context fabric, impact intelligence, evidence, plugins, enterprise architecture</cp:keywords>
  <dc:description>Target-state leadership review document</dc:description>
  <cp:lastModifiedBy/>
  <cp:revision>1</cp:revision>
  <dcterms:created xsi:type="dcterms:W3CDTF">2013-12-23T23:15:00Z</dcterms:created>
  <dcterms:modified xsi:type="dcterms:W3CDTF">2013-12-23T23:15:00Z</dcterms:modified>
  <cp:category/>
</cp:coreProperties>
</file>