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Subhamoy Chakraborty</w:t>
      </w:r>
    </w:p>
    <w:p>
      <w:pPr>
        <w:spacing w:after="40"/>
      </w:pPr>
      <w:r>
        <w:rPr>
          <w:b/>
          <w:bCs/>
          <w:color w:val="2E75B6"/>
          <w:sz w:val="24"/>
          <w:szCs w:val="24"/>
        </w:rPr>
        <w:t xml:space="preserve">Principal, AI Architect | Enterprise AI Transformation Leader</w:t>
      </w:r>
    </w:p>
    <w:p>
      <w:pPr>
        <w:spacing w:after="120"/>
      </w:pPr>
      <w:r>
        <w:t xml:space="preserve">Hillsborough, NJ | subhachak@gmail.com | (609) 608-2183 | </w:t>
      </w:r>
      <w:hyperlink w:history="1" r:id="rId776_sjb8uqjnt0k9cnzwm">
        <w:r>
          <w:rPr>
            <w:rStyle w:val="Hyperlink"/>
          </w:rPr>
          <w:t xml:space="preserve">linkedin.com/in/subh-chak</w:t>
        </w:r>
      </w:hyperlink>
    </w:p>
    <w:p>
      <w:pPr>
        <w:pStyle w:val="Heading2"/>
        <w:pBdr>
          <w:bottom w:val="single" w:color="2E75B6" w:sz="6" w:space="1"/>
        </w:pBdr>
        <w:spacing w:after="80" w:before="240"/>
      </w:pPr>
      <w:r>
        <w:t xml:space="preserve">Professional Summary</w:t>
      </w:r>
    </w:p>
    <w:p>
      <w:pPr>
        <w:spacing w:after="80"/>
      </w:pPr>
      <w:r>
        <w:t xml:space="preserve">Enterprise architect with 20+ years experience driving AI-powered digital transformations. Specializes in designing and implementing cloud-native AI architectures, optimizing large language model (LLM) performance, and establishing responsible AI governance frameworks. Proven track record leading cross-functional teams to deliver scalable generative AI solutions across healthcare, financial services, and retail sectors.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t xml:space="preserve">Work Experience</w:t>
      </w:r>
    </w:p>
    <w:p>
      <w:pPr>
        <w:spacing w:after="0" w:before="160"/>
      </w:pPr>
      <w:r>
        <w:rPr>
          <w:b/>
          <w:bCs/>
          <w:sz w:val="24"/>
          <w:szCs w:val="24"/>
        </w:rPr>
        <w:t xml:space="preserve">Mphasis</w:t>
      </w:r>
    </w:p>
    <w:p>
      <w:pPr>
        <w:tabs>
          <w:tab w:val="right" w:pos="9026"/>
        </w:tabs>
        <w:spacing w:after="60"/>
      </w:pPr>
      <w:r>
        <w:rPr>
          <w:i/>
          <w:iCs/>
        </w:rPr>
        <w:t xml:space="preserve">Principal, AI Architect | Remote, USA</w:t>
      </w:r>
      <w:r>
        <w:rPr>
          <w:i/>
          <w:iCs/>
        </w:rPr>
        <w:t xml:space="preserve">	07/2026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enterprise AI strategy defining reference architectures for generative AI and LLM deployment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 and implement cloud-native AI solutions on AWS/Azure/GCP integrating OpenAI, HuggingFace, and Databricks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Establish AI governance frameworks ensuring model fairness, explainability, and regulatory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 data lake solutions supporting ML feature engineering and model training workflows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Drive adoption of transformer architectures and deep learning frameworks (TensorFlow, PyTorch)</w:t>
      </w:r>
    </w:p>
    <w:p>
      <w:pPr>
        <w:spacing w:after="0" w:before="160"/>
      </w:pPr>
      <w:r>
        <w:rPr>
          <w:b/>
          <w:bCs/>
          <w:sz w:val="24"/>
          <w:szCs w:val="24"/>
        </w:rPr>
        <w:t xml:space="preserve">Brillio</w:t>
      </w:r>
    </w:p>
    <w:p>
      <w:pPr>
        <w:tabs>
          <w:tab w:val="right" w:pos="9026"/>
        </w:tabs>
        <w:spacing w:after="60"/>
      </w:pPr>
      <w:r>
        <w:rPr>
          <w:i/>
          <w:iCs/>
        </w:rPr>
        <w:t xml:space="preserve">Enterprise Architect | Remote, USA</w:t>
      </w:r>
      <w:r>
        <w:rPr>
          <w:i/>
          <w:iCs/>
        </w:rPr>
        <w:t xml:space="preserve">	09/2023 – 06/2026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AI systems integrating foundation models with vector databases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Founded AI Center of Excellence developing RAG pipelines using LangChain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AI observability and guardrails for production deployments</w:t>
      </w:r>
    </w:p>
    <w:p>
      <w:pPr>
        <w:spacing w:after="0" w:before="160"/>
      </w:pPr>
      <w:r>
        <w:rPr>
          <w:b/>
          <w:bCs/>
          <w:sz w:val="24"/>
          <w:szCs w:val="24"/>
        </w:rPr>
        <w:t xml:space="preserve">PVH Corp (Calvin Klein / Tommy Hilfiger)</w:t>
      </w:r>
    </w:p>
    <w:p>
      <w:pPr>
        <w:tabs>
          <w:tab w:val="right" w:pos="9026"/>
        </w:tabs>
        <w:spacing w:after="60"/>
      </w:pPr>
      <w:r>
        <w:rPr>
          <w:i/>
          <w:iCs/>
        </w:rPr>
        <w:t xml:space="preserve">Global Solution Architect | New York, NY</w:t>
      </w:r>
      <w:r>
        <w:rPr>
          <w:i/>
          <w:iCs/>
        </w:rPr>
        <w:t xml:space="preserve">	05/2022 – 09/2023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digital commerce platform modernization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omnichannel customer engagement ecosystem</w:t>
      </w:r>
    </w:p>
    <w:p>
      <w:pPr>
        <w:spacing w:after="0" w:before="160"/>
      </w:pPr>
      <w:r>
        <w:rPr>
          <w:b/>
          <w:bCs/>
          <w:sz w:val="24"/>
          <w:szCs w:val="24"/>
        </w:rPr>
        <w:t xml:space="preserve">Publicis Sapient</w:t>
      </w:r>
    </w:p>
    <w:p>
      <w:pPr>
        <w:tabs>
          <w:tab w:val="right" w:pos="9026"/>
        </w:tabs>
        <w:spacing w:after="60"/>
      </w:pPr>
      <w:r>
        <w:rPr>
          <w:i/>
          <w:iCs/>
        </w:rPr>
        <w:t xml:space="preserve">Senior Manager, Technology | USA / Global</w:t>
      </w:r>
      <w:r>
        <w:rPr>
          <w:i/>
          <w:iCs/>
        </w:rPr>
        <w:t xml:space="preserve">	10/2014 – 04/2022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Directed eCommerce transformations driving revenue growth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multi-cloud Salesforce solutions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t xml:space="preserve">Skills</w:t>
      </w:r>
    </w:p>
    <w:p>
      <w:pPr>
        <w:spacing w:after="40"/>
      </w:pPr>
      <w:r>
        <w:rPr>
          <w:b/>
          <w:bCs/>
        </w:rPr>
        <w:t xml:space="preserve">AI/ML: </w:t>
      </w:r>
      <w:r>
        <w:t xml:space="preserve">Generative AI, LLMs, RAG, PyTorch, TensorFlow, HuggingFace</w:t>
      </w:r>
    </w:p>
    <w:p>
      <w:pPr>
        <w:spacing w:after="40"/>
      </w:pPr>
      <w:r>
        <w:rPr>
          <w:b/>
          <w:bCs/>
        </w:rPr>
        <w:t xml:space="preserve">Cloud: </w:t>
      </w:r>
      <w:r>
        <w:t xml:space="preserve">AWS, Azure, GCP, Kubernetes, Docker, Serverless</w:t>
      </w:r>
    </w:p>
    <w:p>
      <w:pPr>
        <w:spacing w:after="40"/>
      </w:pPr>
      <w:r>
        <w:rPr>
          <w:b/>
          <w:bCs/>
        </w:rPr>
        <w:t xml:space="preserve">Architecture: </w:t>
      </w:r>
      <w:r>
        <w:t xml:space="preserve">Microservices, API-first, Event-Driven, Data Lakes</w:t>
      </w:r>
    </w:p>
    <w:p>
      <w:pPr>
        <w:spacing w:after="40"/>
      </w:pPr>
      <w:r>
        <w:rPr>
          <w:b/>
          <w:bCs/>
        </w:rPr>
        <w:t xml:space="preserve">Languages: </w:t>
      </w:r>
      <w:r>
        <w:t xml:space="preserve">Python, Java, SQL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TOGAF Certified Enterprise Architect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/ Azure / GCP Certified Solutions Architect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Generative AI Professional (IBM)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t xml:space="preserve">Education</w:t>
      </w:r>
    </w:p>
    <w:p>
      <w:r>
        <w:t xml:space="preserve">[Degree, Institution, Year]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ap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76_sjb8uqjnt0k9cnzwm" Type="http://schemas.openxmlformats.org/officeDocument/2006/relationships/hyperlink" Target="https://www.linkedin.com/in/subh-chak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2026-06-12T17:18:30.687Z</dcterms:created>
  <dcterms:modified xsi:type="dcterms:W3CDTF">2026-06-12T17:18:30.687Z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