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978" w:leader="none"/>
        </w:tabs>
        <w:rPr/>
      </w:pPr>
      <w:r>
        <w:rPr/>
      </w:r>
    </w:p>
    <w:p>
      <w:pPr>
        <w:pStyle w:val="Normal"/>
        <w:numPr>
          <w:ilvl w:val="0"/>
          <w:numId w:val="0"/>
        </w:numPr>
        <w:spacing w:beforeAutospacing="1" w:afterAutospacing="1"/>
        <w:jc w:val="center"/>
        <w:outlineLvl w:val="2"/>
        <w:rPr>
          <w:rFonts w:ascii="Times New Roman" w:hAnsi="Times New Roman" w:eastAsia="Times New Roman"/>
          <w:b/>
          <w:b/>
          <w:bCs/>
          <w:sz w:val="27"/>
          <w:szCs w:val="27"/>
          <w:lang w:val="en-IN" w:eastAsia="en-IN"/>
        </w:rPr>
      </w:pPr>
      <w:r>
        <w:rPr>
          <w:rFonts w:eastAsia="Times New Roman" w:ascii="Times New Roman" w:hAnsi="Times New Roman"/>
          <w:b/>
          <w:bCs/>
          <w:sz w:val="27"/>
          <w:szCs w:val="27"/>
          <w:lang w:val="en-IN" w:eastAsia="en-IN"/>
        </w:rPr>
        <w:t xml:space="preserve">Notice Inviting Quotations </w:t>
      </w:r>
    </w:p>
    <w:p>
      <w:pPr>
        <w:pStyle w:val="Normal"/>
        <w:jc w:val="center"/>
        <w:rPr/>
      </w:pPr>
      <w:r>
        <w:rPr>
          <w:rFonts w:eastAsia="Times New Roman" w:ascii="Times New Roman" w:hAnsi="Times New Roman"/>
          <w:sz w:val="24"/>
          <w:szCs w:val="24"/>
          <w:lang w:val="en-IN" w:eastAsia="en-IN"/>
        </w:rPr>
        <w:t>For Office Station</w:t>
      </w:r>
      <w:r>
        <w:rPr>
          <w:rFonts w:eastAsia="Times New Roman" w:ascii="Times New Roman" w:hAnsi="Times New Roman"/>
          <w:sz w:val="24"/>
          <w:szCs w:val="24"/>
          <w:lang w:val="en-IN" w:eastAsia="en-IN"/>
        </w:rPr>
        <w:t>e</w:t>
      </w:r>
      <w:r>
        <w:rPr>
          <w:rFonts w:eastAsia="Times New Roman" w:ascii="Times New Roman" w:hAnsi="Times New Roman"/>
          <w:sz w:val="24"/>
          <w:szCs w:val="24"/>
          <w:lang w:val="en-IN" w:eastAsia="en-IN"/>
        </w:rPr>
        <w:t xml:space="preserve">ry Items </w:t>
      </w:r>
    </w:p>
    <w:p>
      <w:pPr>
        <w:pStyle w:val="Normal"/>
        <w:jc w:val="center"/>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ab/>
      </w:r>
    </w:p>
    <w:p>
      <w:pPr>
        <w:pStyle w:val="Normal"/>
        <w:jc w:val="center"/>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Ref : IIITK/Enquiry/2018/84</w:t>
        <w:tab/>
        <w:tab/>
        <w:tab/>
        <w:tab/>
        <w:t>Dated - 31.08.2018</w:t>
      </w:r>
    </w:p>
    <w:p>
      <w:pPr>
        <w:pStyle w:val="Normal"/>
        <w:spacing w:beforeAutospacing="1" w:afterAutospacing="1"/>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Sealed Quotations are invited from bonafide vendors/suppliers/manufactures for the following station</w:t>
      </w:r>
      <w:r>
        <w:rPr>
          <w:rFonts w:eastAsia="Times New Roman" w:ascii="Times New Roman" w:hAnsi="Times New Roman"/>
          <w:sz w:val="24"/>
          <w:szCs w:val="24"/>
          <w:lang w:val="en-IN" w:eastAsia="en-IN"/>
        </w:rPr>
        <w:t>e</w:t>
      </w:r>
      <w:r>
        <w:rPr>
          <w:rFonts w:eastAsia="Times New Roman" w:ascii="Times New Roman" w:hAnsi="Times New Roman"/>
          <w:sz w:val="24"/>
          <w:szCs w:val="24"/>
          <w:lang w:val="en-IN" w:eastAsia="en-IN"/>
        </w:rPr>
        <w:t>ry items before 11</w:t>
      </w:r>
      <w:r>
        <w:rPr>
          <w:rFonts w:eastAsia="Times New Roman" w:ascii="Times New Roman" w:hAnsi="Times New Roman"/>
          <w:b/>
          <w:sz w:val="24"/>
          <w:szCs w:val="24"/>
          <w:lang w:val="en-IN" w:eastAsia="en-IN"/>
        </w:rPr>
        <w:t>.09.2018</w:t>
      </w:r>
      <w:r>
        <w:rPr>
          <w:rFonts w:eastAsia="Times New Roman" w:ascii="Times New Roman" w:hAnsi="Times New Roman"/>
          <w:sz w:val="24"/>
          <w:szCs w:val="24"/>
          <w:lang w:val="en-IN" w:eastAsia="en-IN"/>
        </w:rPr>
        <w:t>. Vender should be very well familiar with the items. Rates should be inclusive of all taxes and charges, if any including delivery.</w:t>
      </w:r>
    </w:p>
    <w:tbl>
      <w:tblPr>
        <w:tblStyle w:val="TableGrid2"/>
        <w:tblW w:w="9601" w:type="dxa"/>
        <w:jc w:val="center"/>
        <w:tblInd w:w="0" w:type="dxa"/>
        <w:tblCellMar>
          <w:top w:w="0" w:type="dxa"/>
          <w:left w:w="103" w:type="dxa"/>
          <w:bottom w:w="0" w:type="dxa"/>
          <w:right w:w="108" w:type="dxa"/>
        </w:tblCellMar>
        <w:tblLook w:val="04a0" w:noVBand="1" w:noHBand="0" w:lastColumn="0" w:firstColumn="1" w:lastRow="0" w:firstRow="1"/>
      </w:tblPr>
      <w:tblGrid>
        <w:gridCol w:w="576"/>
        <w:gridCol w:w="3713"/>
        <w:gridCol w:w="2900"/>
        <w:gridCol w:w="1336"/>
        <w:gridCol w:w="1076"/>
      </w:tblGrid>
      <w:tr>
        <w:trPr>
          <w:tblHeader w:val="true"/>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b/>
                <w:b/>
                <w:sz w:val="24"/>
                <w:szCs w:val="24"/>
                <w:lang w:val="en-IN"/>
              </w:rPr>
            </w:pPr>
            <w:r>
              <w:rPr>
                <w:rFonts w:ascii="Times New Roman" w:hAnsi="Times New Roman"/>
                <w:b/>
                <w:sz w:val="24"/>
                <w:szCs w:val="24"/>
                <w:lang w:val="en-IN" w:eastAsia="en-IN"/>
              </w:rPr>
              <w:t>Sr. No</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b/>
                <w:b/>
                <w:sz w:val="24"/>
                <w:szCs w:val="24"/>
                <w:lang w:val="en-IN"/>
              </w:rPr>
            </w:pPr>
            <w:r>
              <w:rPr>
                <w:rFonts w:ascii="Times New Roman" w:hAnsi="Times New Roman"/>
                <w:b/>
                <w:sz w:val="24"/>
                <w:szCs w:val="24"/>
                <w:lang w:val="en-IN" w:eastAsia="en-IN"/>
              </w:rPr>
              <w:t>Items</w:t>
            </w:r>
          </w:p>
        </w:tc>
        <w:tc>
          <w:tcPr>
            <w:tcW w:w="2900" w:type="dxa"/>
            <w:tcBorders/>
            <w:shd w:fill="auto" w:val="clear"/>
          </w:tcPr>
          <w:p>
            <w:pPr>
              <w:pStyle w:val="Normal"/>
              <w:spacing w:lineRule="auto" w:line="240" w:before="0" w:after="0"/>
              <w:jc w:val="center"/>
              <w:rPr>
                <w:rFonts w:ascii="Times New Roman" w:hAnsi="Times New Roman"/>
                <w:b/>
                <w:b/>
                <w:sz w:val="24"/>
                <w:szCs w:val="24"/>
                <w:lang w:val="en-IN"/>
              </w:rPr>
            </w:pPr>
            <w:r>
              <w:rPr>
                <w:rFonts w:ascii="Times New Roman" w:hAnsi="Times New Roman"/>
                <w:b/>
                <w:sz w:val="24"/>
                <w:szCs w:val="24"/>
                <w:lang w:val="en-IN" w:eastAsia="en-IN"/>
              </w:rPr>
              <w:t>Make/ Model/ Specification/or any other information for Items</w:t>
            </w:r>
          </w:p>
        </w:tc>
        <w:tc>
          <w:tcPr>
            <w:tcW w:w="1336" w:type="dxa"/>
            <w:tcBorders/>
            <w:shd w:color="auto" w:fill="auto" w:val="clear"/>
            <w:tcMar>
              <w:left w:w="103" w:type="dxa"/>
            </w:tcMar>
          </w:tcPr>
          <w:p>
            <w:pPr>
              <w:pStyle w:val="Normal"/>
              <w:spacing w:lineRule="auto" w:line="240" w:before="0" w:after="0"/>
              <w:jc w:val="center"/>
              <w:rPr>
                <w:rFonts w:ascii="Times New Roman" w:hAnsi="Times New Roman"/>
                <w:b/>
                <w:b/>
                <w:sz w:val="24"/>
                <w:szCs w:val="24"/>
                <w:lang w:val="en-IN"/>
              </w:rPr>
            </w:pPr>
            <w:r>
              <w:rPr>
                <w:rFonts w:ascii="Times New Roman" w:hAnsi="Times New Roman"/>
                <w:b/>
                <w:sz w:val="24"/>
                <w:szCs w:val="24"/>
                <w:lang w:val="en-IN" w:eastAsia="en-IN"/>
              </w:rPr>
              <w:t xml:space="preserve">Quantity </w:t>
            </w:r>
          </w:p>
          <w:p>
            <w:pPr>
              <w:pStyle w:val="Normal"/>
              <w:spacing w:lineRule="auto" w:line="240" w:before="0" w:after="0"/>
              <w:jc w:val="center"/>
              <w:rPr>
                <w:rFonts w:ascii="Times New Roman" w:hAnsi="Times New Roman" w:eastAsia="Calibri" w:eastAsiaTheme="minorHAnsi"/>
                <w:b/>
                <w:b/>
                <w:sz w:val="24"/>
                <w:szCs w:val="24"/>
                <w:lang w:val="en-IN"/>
              </w:rPr>
            </w:pPr>
            <w:r>
              <w:rPr>
                <w:rFonts w:ascii="Times New Roman" w:hAnsi="Times New Roman"/>
                <w:b/>
                <w:sz w:val="24"/>
                <w:szCs w:val="24"/>
                <w:lang w:val="en-IN" w:eastAsia="en-IN"/>
              </w:rPr>
              <w:t>(Piece/Pkt)</w:t>
            </w:r>
          </w:p>
        </w:tc>
        <w:tc>
          <w:tcPr>
            <w:tcW w:w="1076"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b/>
                <w:b/>
                <w:sz w:val="24"/>
                <w:szCs w:val="24"/>
                <w:lang w:val="en-IN"/>
              </w:rPr>
            </w:pPr>
            <w:r>
              <w:rPr>
                <w:rFonts w:ascii="Times New Roman" w:hAnsi="Times New Roman"/>
                <w:b/>
                <w:sz w:val="24"/>
                <w:szCs w:val="24"/>
                <w:lang w:val="en-IN" w:eastAsia="en-IN"/>
              </w:rPr>
              <w:t>Rate in Rs.</w:t>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A-3 pages</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A-4 pages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A-5 pages</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4.</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Bond Paper</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5.</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Brown Paper</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6.</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Correction Pen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7.</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Highlighter Pen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8.</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Dot pen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9.</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White Board Marker Pen(Black)</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10.</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White Board Marker Pen(Red)</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11.</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White Board Marker Pen(Blue)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12.</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White Board Marker Ink(Black)</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13.</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White Board Marker Ink (Red)</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14.</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White Board Marker Ink(Blue)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15.</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Steel Scale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16.</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Pencil</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17.</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Eraser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18.</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Sharpner</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19.</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Scissors(Small)</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20.</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Scissors(big)</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.21</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Punching Machine Small</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22.</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Stapler Machine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23.</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Stapler Pin Small</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24.</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Arch  File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25.</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Board File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26.</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Cover file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27.</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Plastic Folder File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28.</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Punching File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29.</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A-4 Size double clip plastic file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30.</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L Folder file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31.</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Fevi  Stick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32.</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Liquid Gum</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33.</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Service Book</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34.</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Note Book Spiral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35.</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Stock Book 300 pages</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36.</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 xml:space="preserve">Register Book(192 pages)/150 pages/200 pages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eastAsia="Calibri" w:eastAsiaTheme="minorHAnsi"/>
                <w:sz w:val="24"/>
                <w:szCs w:val="24"/>
                <w:lang w:val="en-IN"/>
              </w:rPr>
            </w:pPr>
            <w:r>
              <w:rPr>
                <w:rFonts w:ascii="Times New Roman" w:hAnsi="Times New Roman"/>
                <w:sz w:val="24"/>
                <w:szCs w:val="24"/>
                <w:lang w:val="en-IN" w:eastAsia="en-IN"/>
              </w:rPr>
              <w:t>37.</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eastAsia="Calibri" w:eastAsiaTheme="minorHAnsi"/>
                <w:sz w:val="24"/>
                <w:szCs w:val="24"/>
                <w:lang w:val="en-IN"/>
              </w:rPr>
            </w:pPr>
            <w:r>
              <w:rPr>
                <w:rFonts w:ascii="Times New Roman" w:hAnsi="Times New Roman"/>
                <w:sz w:val="24"/>
                <w:szCs w:val="24"/>
                <w:lang w:val="en-IN" w:eastAsia="en-IN"/>
              </w:rPr>
              <w:t>Green Envelope(Big)18*16 size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38.</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 xml:space="preserve"> </w:t>
            </w:r>
            <w:r>
              <w:rPr>
                <w:rFonts w:ascii="Times New Roman" w:hAnsi="Times New Roman"/>
                <w:sz w:val="24"/>
                <w:szCs w:val="24"/>
                <w:lang w:val="en-IN" w:eastAsia="en-IN"/>
              </w:rPr>
              <w:t>Green Envelope with burning (16*12 size)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39.</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Paper Binding strip(Tag)</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40.</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Paper Cilp Stand</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41.</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Legal Size Plastic Tray</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42.</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 xml:space="preserve"> </w:t>
            </w:r>
            <w:r>
              <w:rPr>
                <w:rFonts w:ascii="Times New Roman" w:hAnsi="Times New Roman"/>
                <w:sz w:val="24"/>
                <w:szCs w:val="24"/>
                <w:lang w:val="en-IN" w:eastAsia="en-IN"/>
              </w:rPr>
              <w:t>Dustbin Box</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43</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 xml:space="preserve"> </w:t>
            </w:r>
            <w:r>
              <w:rPr>
                <w:rFonts w:ascii="Times New Roman" w:hAnsi="Times New Roman"/>
                <w:sz w:val="24"/>
                <w:szCs w:val="24"/>
                <w:lang w:val="en-IN" w:eastAsia="en-IN"/>
              </w:rPr>
              <w:t xml:space="preserve">Battery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.44.</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Paper Weight</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45.</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Memento Cup</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46.</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Super Nylon Stick Lock</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47.</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 xml:space="preserve">Sticky Notes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48.</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Paper binding strip(Tag)</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49.</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White Tape1 inch</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50.</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 xml:space="preserve">Writing Pad </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51.</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Brown Tape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52.</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79 Toner Cartridge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53.</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HP Cartridge Toner 12A</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54.</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HP Cartridge Toner 88A</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55.</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HP Cartridge Toner 312A</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56.</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Binder Cilp (Medium size)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57.</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Binder clip (Small size)</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r>
        <w:trPr/>
        <w:tc>
          <w:tcPr>
            <w:tcW w:w="576" w:type="dxa"/>
            <w:tcBorders/>
            <w:shd w:color="auto" w:fill="auto" w:val="clear"/>
            <w:tcMar>
              <w:left w:w="103" w:type="dxa"/>
            </w:tcMar>
          </w:tcPr>
          <w:p>
            <w:pPr>
              <w:pStyle w:val="Normal"/>
              <w:spacing w:lineRule="auto" w:line="240" w:before="0" w:after="0"/>
              <w:rPr>
                <w:rFonts w:ascii="Times New Roman" w:hAnsi="Times New Roman"/>
                <w:sz w:val="24"/>
                <w:szCs w:val="24"/>
                <w:lang w:val="en-IN"/>
              </w:rPr>
            </w:pPr>
            <w:r>
              <w:rPr>
                <w:rFonts w:ascii="Times New Roman" w:hAnsi="Times New Roman"/>
                <w:sz w:val="24"/>
                <w:szCs w:val="24"/>
                <w:lang w:val="en-IN" w:eastAsia="en-IN"/>
              </w:rPr>
              <w:t>58.</w:t>
            </w:r>
          </w:p>
        </w:tc>
        <w:tc>
          <w:tcPr>
            <w:tcW w:w="3713" w:type="dxa"/>
            <w:tcBorders/>
            <w:shd w:color="auto" w:fill="auto" w:val="clear"/>
            <w:tcMar>
              <w:left w:w="103" w:type="dxa"/>
            </w:tcMar>
          </w:tcPr>
          <w:p>
            <w:pPr>
              <w:pStyle w:val="Normal"/>
              <w:spacing w:lineRule="auto" w:line="240" w:before="0" w:after="0"/>
              <w:jc w:val="center"/>
              <w:rPr>
                <w:rFonts w:ascii="Times New Roman" w:hAnsi="Times New Roman"/>
                <w:sz w:val="24"/>
                <w:szCs w:val="24"/>
                <w:lang w:val="en-IN"/>
              </w:rPr>
            </w:pPr>
            <w:r>
              <w:rPr>
                <w:rFonts w:ascii="Times New Roman" w:hAnsi="Times New Roman"/>
                <w:sz w:val="24"/>
                <w:szCs w:val="24"/>
                <w:lang w:val="en-IN" w:eastAsia="en-IN"/>
              </w:rPr>
              <w:t>White Board Duster</w:t>
            </w:r>
          </w:p>
        </w:tc>
        <w:tc>
          <w:tcPr>
            <w:tcW w:w="2900" w:type="dxa"/>
            <w:tcBorders/>
            <w:shd w:fill="auto" w:val="cle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33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c>
          <w:tcPr>
            <w:tcW w:w="1076" w:type="dxa"/>
            <w:tcBorders/>
            <w:shd w:color="auto" w:fill="auto" w:val="clear"/>
            <w:tcMar>
              <w:left w:w="103" w:type="dxa"/>
            </w:tcMar>
          </w:tcPr>
          <w:p>
            <w:pPr>
              <w:pStyle w:val="Normal"/>
              <w:spacing w:lineRule="auto" w:line="240" w:before="0" w:after="0"/>
              <w:jc w:val="center"/>
              <w:rPr>
                <w:rFonts w:ascii="Calibri" w:hAnsi="Calibri"/>
                <w:sz w:val="20"/>
                <w:szCs w:val="20"/>
                <w:lang w:val="en-IN" w:eastAsia="en-IN"/>
              </w:rPr>
            </w:pPr>
            <w:r>
              <w:rPr>
                <w:rFonts w:ascii="Calibri" w:hAnsi="Calibri"/>
                <w:sz w:val="20"/>
                <w:szCs w:val="20"/>
                <w:lang w:val="en-IN" w:eastAsia="en-IN"/>
              </w:rPr>
            </w:r>
          </w:p>
        </w:tc>
      </w:tr>
    </w:tbl>
    <w:p>
      <w:pPr>
        <w:pStyle w:val="Normal"/>
        <w:spacing w:beforeAutospacing="1" w:afterAutospacing="1"/>
        <w:jc w:val="both"/>
        <w:rPr>
          <w:rFonts w:ascii="Times New Roman" w:hAnsi="Times New Roman" w:eastAsia="Times New Roman"/>
          <w:sz w:val="24"/>
          <w:szCs w:val="24"/>
          <w:lang w:val="en-IN" w:eastAsia="en-IN"/>
        </w:rPr>
      </w:pPr>
      <w:r>
        <w:rPr>
          <w:rFonts w:ascii="Times New Roman" w:hAnsi="Times New Roman" w:eastAsia="Times New Roman"/>
          <w:sz w:val="24"/>
          <w:szCs w:val="24"/>
          <w:lang w:val="en-IN" w:eastAsia="en-IN"/>
        </w:rPr>
        <w:t xml:space="preserve"> </w:t>
      </w:r>
      <w:r>
        <w:rPr>
          <w:rFonts w:eastAsia="Times New Roman" w:ascii="Times New Roman" w:hAnsi="Times New Roman"/>
          <w:sz w:val="24"/>
          <w:szCs w:val="24"/>
          <w:lang w:val="en-IN" w:eastAsia="en-IN"/>
        </w:rPr>
        <w:t>Quotations are to be submitted in closed sealed cover within 11th September, 2018 3:00 pm and the work is to be completed as and when required. In case of failure to complete the work in time, order will be cancelled automatically without assigning any reason. Payment will be made by cheque. The IIIT, Kalyani reserves the right to accept and/or reject any or all proposal submitted against this enquiry without assigning any reason whatsoever.</w:t>
      </w:r>
    </w:p>
    <w:p>
      <w:pPr>
        <w:pStyle w:val="Normal"/>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Notes:</w:t>
      </w:r>
    </w:p>
    <w:p>
      <w:pPr>
        <w:pStyle w:val="Normal"/>
        <w:ind w:left="284" w:hanging="284"/>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1. All rates should be inclusive of the existing taxes.</w:t>
      </w:r>
    </w:p>
    <w:p>
      <w:pPr>
        <w:pStyle w:val="Normal"/>
        <w:ind w:left="284" w:hanging="284"/>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2. Transportation and installation cost will be borne by the company.</w:t>
      </w:r>
    </w:p>
    <w:p>
      <w:pPr>
        <w:pStyle w:val="Normal"/>
        <w:ind w:left="284" w:hanging="284"/>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3. Lowest rate offered will not be that only criterion of this work. Quality, experience, credential will be given equal importance in this process.</w:t>
      </w:r>
    </w:p>
    <w:p>
      <w:pPr>
        <w:pStyle w:val="Normal"/>
        <w:ind w:left="284" w:hanging="284"/>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t>4. The PAN number should be mentioned. The clearance/ no dues certificates issued by Income Tax Department shall be attached, Trade license.</w:t>
      </w:r>
    </w:p>
    <w:p>
      <w:pPr>
        <w:pStyle w:val="Normal"/>
        <w:ind w:left="284" w:hanging="284"/>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ind w:left="284" w:hanging="284"/>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ind w:left="284" w:hanging="284"/>
        <w:jc w:val="both"/>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ind w:right="237" w:hanging="0"/>
        <w:jc w:val="right"/>
        <w:rPr>
          <w:rFonts w:ascii="Times New Roman" w:hAnsi="Times New Roman" w:eastAsia="Times New Roman"/>
          <w:sz w:val="24"/>
          <w:szCs w:val="24"/>
          <w:lang w:val="en-IN" w:eastAsia="en-IN"/>
        </w:rPr>
      </w:pPr>
      <w:r>
        <w:rPr>
          <w:rFonts w:eastAsia="Times New Roman" w:ascii="Times New Roman" w:hAnsi="Times New Roman"/>
          <w:sz w:val="24"/>
          <w:szCs w:val="24"/>
          <w:lang w:val="en-IN" w:eastAsia="en-IN"/>
        </w:rPr>
      </w:r>
    </w:p>
    <w:p>
      <w:pPr>
        <w:pStyle w:val="Normal"/>
        <w:ind w:right="237" w:hanging="0"/>
        <w:jc w:val="right"/>
        <w:rPr>
          <w:rFonts w:ascii="Times New Roman" w:hAnsi="Times New Roman" w:eastAsia="Times New Roman"/>
          <w:sz w:val="24"/>
          <w:szCs w:val="24"/>
          <w:lang w:val="en-IN" w:eastAsia="en-IN"/>
        </w:rPr>
      </w:pPr>
      <w:r>
        <w:rPr>
          <w:rFonts w:ascii="Times New Roman" w:hAnsi="Times New Roman" w:eastAsia="Times New Roman"/>
          <w:sz w:val="24"/>
          <w:szCs w:val="24"/>
          <w:lang w:val="en-IN" w:eastAsia="en-IN"/>
        </w:rPr>
        <w:t xml:space="preserve"> </w:t>
      </w:r>
      <w:r>
        <w:rPr>
          <w:rFonts w:eastAsia="Times New Roman" w:ascii="Times New Roman" w:hAnsi="Times New Roman"/>
          <w:sz w:val="24"/>
          <w:szCs w:val="24"/>
          <w:lang w:val="en-IN" w:eastAsia="en-IN"/>
        </w:rPr>
        <w:t>(S.N. Datta)</w:t>
      </w:r>
    </w:p>
    <w:p>
      <w:pPr>
        <w:pStyle w:val="Normal"/>
        <w:jc w:val="right"/>
        <w:rPr/>
      </w:pPr>
      <w:r>
        <w:rPr>
          <w:rFonts w:eastAsia="Times New Roman" w:ascii="Times New Roman" w:hAnsi="Times New Roman"/>
          <w:sz w:val="24"/>
          <w:szCs w:val="24"/>
          <w:lang w:val="en-IN" w:eastAsia="en-IN"/>
        </w:rPr>
        <w:t>Registrar (Offg.)</w:t>
      </w:r>
    </w:p>
    <w:sectPr>
      <w:headerReference w:type="default" r:id="rId2"/>
      <w:type w:val="nextPage"/>
      <w:pgSz w:w="11906" w:h="16838"/>
      <w:pgMar w:left="720" w:right="720" w:header="27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tabs>
        <w:tab w:val="center" w:pos="5245" w:leader="none"/>
        <w:tab w:val="right" w:pos="9639" w:leader="none"/>
      </w:tabs>
      <w:ind w:left="851" w:hanging="0"/>
      <w:jc w:val="center"/>
      <w:rPr/>
    </w:pPr>
    <w:r>
      <w:rPr/>
    </w:r>
  </w:p>
  <w:p>
    <w:pPr>
      <w:pStyle w:val="Style19"/>
      <w:tabs>
        <w:tab w:val="center" w:pos="5245" w:leader="none"/>
        <w:tab w:val="right" w:pos="9639" w:leader="none"/>
      </w:tabs>
      <w:ind w:left="851" w:hanging="0"/>
      <w:jc w:val="center"/>
      <w:rPr/>
    </w:pPr>
    <w:r>
      <w:rPr/>
      <w:drawing>
        <wp:anchor behindDoc="1" distT="0" distB="0" distL="19050" distR="8890" simplePos="0" locked="0" layoutInCell="1" allowOverlap="1" relativeHeight="3">
          <wp:simplePos x="0" y="0"/>
          <wp:positionH relativeFrom="page">
            <wp:posOffset>688340</wp:posOffset>
          </wp:positionH>
          <wp:positionV relativeFrom="paragraph">
            <wp:posOffset>48895</wp:posOffset>
          </wp:positionV>
          <wp:extent cx="810260" cy="858520"/>
          <wp:effectExtent l="0" t="0" r="0" b="0"/>
          <wp:wrapTopAndBottom/>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
                  <a:stretch>
                    <a:fillRect/>
                  </a:stretch>
                </pic:blipFill>
                <pic:spPr bwMode="auto">
                  <a:xfrm>
                    <a:off x="0" y="0"/>
                    <a:ext cx="810260" cy="858520"/>
                  </a:xfrm>
                  <a:prstGeom prst="rect">
                    <a:avLst/>
                  </a:prstGeom>
                </pic:spPr>
              </pic:pic>
            </a:graphicData>
          </a:graphic>
        </wp:anchor>
      </w:drawing>
    </w:r>
  </w:p>
  <w:p>
    <w:pPr>
      <w:pStyle w:val="Style19"/>
      <w:tabs>
        <w:tab w:val="center" w:pos="5245" w:leader="none"/>
        <w:tab w:val="right" w:pos="9639" w:leader="none"/>
      </w:tabs>
      <w:ind w:left="851" w:right="310" w:hanging="0"/>
      <w:jc w:val="center"/>
      <w:rPr>
        <w:b/>
        <w:b/>
        <w:sz w:val="24"/>
        <w:szCs w:val="24"/>
      </w:rPr>
    </w:pPr>
    <w:r>
      <w:rPr>
        <w:b/>
        <w:sz w:val="24"/>
        <w:szCs w:val="24"/>
      </w:rPr>
      <w:t xml:space="preserve">INDIAN INSTITUTE OF INFORMATION TECHNOLOGY, KALYANI </w:t>
    </w:r>
  </w:p>
  <w:p>
    <w:pPr>
      <w:pStyle w:val="Style19"/>
      <w:tabs>
        <w:tab w:val="center" w:pos="5245" w:leader="none"/>
        <w:tab w:val="right" w:pos="9639" w:leader="none"/>
      </w:tabs>
      <w:ind w:left="851" w:right="310" w:hanging="0"/>
      <w:jc w:val="center"/>
      <w:rPr>
        <w:b/>
        <w:b/>
        <w:sz w:val="16"/>
        <w:szCs w:val="16"/>
      </w:rPr>
    </w:pPr>
    <w:r>
      <w:rPr>
        <w:b/>
        <w:sz w:val="16"/>
        <w:szCs w:val="16"/>
      </w:rPr>
      <w:t xml:space="preserve">Autonomous institution under MHRD, Govt. of India </w:t>
    </w:r>
  </w:p>
  <w:p>
    <w:pPr>
      <w:pStyle w:val="Style19"/>
      <w:tabs>
        <w:tab w:val="center" w:pos="5245" w:leader="none"/>
        <w:tab w:val="right" w:pos="9639" w:leader="none"/>
      </w:tabs>
      <w:ind w:left="851" w:right="310" w:hanging="0"/>
      <w:jc w:val="center"/>
      <w:rPr>
        <w:b/>
        <w:b/>
        <w:sz w:val="16"/>
        <w:szCs w:val="16"/>
      </w:rPr>
    </w:pPr>
    <w:r>
      <w:rPr>
        <w:b/>
        <w:sz w:val="16"/>
        <w:szCs w:val="16"/>
      </w:rPr>
      <w:t>&amp;</w:t>
    </w:r>
  </w:p>
  <w:p>
    <w:pPr>
      <w:pStyle w:val="Style19"/>
      <w:tabs>
        <w:tab w:val="center" w:pos="5245" w:leader="none"/>
        <w:tab w:val="right" w:pos="9639" w:leader="none"/>
      </w:tabs>
      <w:ind w:left="851" w:right="310" w:hanging="0"/>
      <w:jc w:val="center"/>
      <w:rPr>
        <w:b/>
        <w:b/>
        <w:sz w:val="16"/>
        <w:szCs w:val="16"/>
      </w:rPr>
    </w:pPr>
    <w:r>
      <w:rPr>
        <w:b/>
        <w:sz w:val="16"/>
        <w:szCs w:val="16"/>
      </w:rPr>
      <w:t xml:space="preserve"> </w:t>
    </w:r>
    <w:r>
      <w:rPr>
        <w:b/>
        <w:sz w:val="16"/>
        <w:szCs w:val="16"/>
      </w:rPr>
      <w:t>Department of Information Technology &amp; Electronics, Govt. of West Bengal</w:t>
    </w:r>
  </w:p>
  <w:p>
    <w:pPr>
      <w:pStyle w:val="Style19"/>
      <w:tabs>
        <w:tab w:val="center" w:pos="5245" w:leader="none"/>
        <w:tab w:val="right" w:pos="9639" w:leader="none"/>
      </w:tabs>
      <w:ind w:left="851" w:right="310" w:hanging="0"/>
      <w:jc w:val="center"/>
      <w:rPr>
        <w:b/>
        <w:b/>
        <w:sz w:val="16"/>
        <w:szCs w:val="16"/>
      </w:rPr>
    </w:pPr>
    <w:r>
      <w:rPr>
        <w:b/>
        <w:sz w:val="16"/>
        <w:szCs w:val="16"/>
      </w:rPr>
      <w:t xml:space="preserve"> </w:t>
    </w:r>
    <w:r>
      <w:rPr>
        <w:b/>
        <w:sz w:val="16"/>
        <w:szCs w:val="16"/>
      </w:rPr>
      <w:t xml:space="preserve">14 No. Adivasi Para, WEBEL IT Park, Kalyani -741235, </w:t>
    </w:r>
  </w:p>
  <w:p>
    <w:pPr>
      <w:pStyle w:val="Style19"/>
      <w:tabs>
        <w:tab w:val="center" w:pos="5245" w:leader="none"/>
        <w:tab w:val="right" w:pos="9639" w:leader="none"/>
      </w:tabs>
      <w:ind w:left="851" w:right="310" w:hanging="0"/>
      <w:jc w:val="center"/>
      <w:rPr/>
    </w:pPr>
    <w:r>
      <w:rPr>
        <w:b/>
        <w:sz w:val="16"/>
        <w:szCs w:val="16"/>
      </w:rPr>
      <w:t xml:space="preserve">West Bengal, Tel : 033 2582 2240, website : </w:t>
    </w:r>
    <w:hyperlink r:id="rId2">
      <w:r>
        <w:rPr>
          <w:rStyle w:val="Style14"/>
          <w:b/>
          <w:sz w:val="16"/>
          <w:szCs w:val="16"/>
        </w:rPr>
        <w:t>www.iiitkalyani.edu.in</w:t>
      </w:r>
    </w:hyperlink>
  </w:p>
  <w:p>
    <w:pPr>
      <w:pStyle w:val="Style19"/>
      <w:tabs>
        <w:tab w:val="center" w:pos="5103" w:leader="none"/>
        <w:tab w:val="center" w:pos="5245" w:leader="none"/>
        <w:tab w:val="right" w:pos="9639" w:leader="none"/>
      </w:tabs>
      <w:ind w:left="851" w:hanging="0"/>
      <w:jc w:val="center"/>
      <w:rPr>
        <w:b/>
        <w:b/>
        <w:sz w:val="16"/>
        <w:szCs w:val="16"/>
      </w:rPr>
    </w:pPr>
    <w:r>
      <w:rPr>
        <w:b/>
        <w:sz w:val="16"/>
        <w:szCs w:val="16"/>
      </w:rPr>
      <mc:AlternateContent>
        <mc:Choice Requires="wps">
          <w:drawing>
            <wp:anchor behindDoc="1" distT="0" distB="0" distL="114300" distR="114300" simplePos="0" locked="0" layoutInCell="1" allowOverlap="1" relativeHeight="5">
              <wp:simplePos x="0" y="0"/>
              <wp:positionH relativeFrom="column">
                <wp:posOffset>-541020</wp:posOffset>
              </wp:positionH>
              <wp:positionV relativeFrom="paragraph">
                <wp:posOffset>136525</wp:posOffset>
              </wp:positionV>
              <wp:extent cx="7604760" cy="19685"/>
              <wp:effectExtent l="21590" t="23495" r="22860" b="14605"/>
              <wp:wrapNone/>
              <wp:docPr id="2" name="AutoShape 1"/>
              <a:graphic xmlns:a="http://schemas.openxmlformats.org/drawingml/2006/main">
                <a:graphicData uri="http://schemas.microsoft.com/office/word/2010/wordprocessingShape">
                  <wps:wsp>
                    <wps:cNvSpPr/>
                    <wps:spPr>
                      <a:xfrm flipV="1">
                        <a:off x="0" y="0"/>
                        <a:ext cx="7604280" cy="19080"/>
                      </a:xfrm>
                      <a:custGeom>
                        <a:avLst/>
                        <a:gdLst/>
                        <a:ahLst/>
                        <a:rect l="l" t="t" r="r" b="b"/>
                        <a:pathLst>
                          <a:path w="21600" h="21600">
                            <a:moveTo>
                              <a:pt x="0" y="0"/>
                            </a:moveTo>
                            <a:lnTo>
                              <a:pt x="21600" y="21600"/>
                            </a:lnTo>
                          </a:path>
                        </a:pathLst>
                      </a:custGeom>
                      <a:noFill/>
                      <a:ln w="28440">
                        <a:solidFill>
                          <a:srgbClr val="00b0f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42.6pt;margin-top:10.75pt;width:598.7pt;height:1.45pt;flip:y" type="shapetype_32">
              <w10:wrap type="none"/>
              <v:fill o:detectmouseclick="t" on="false"/>
              <v:stroke color="#00b0f0" weight="28440" joinstyle="round" endcap="flat"/>
            </v:shape>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f64"/>
    <w:pPr>
      <w:widowControl/>
      <w:bidi w:val="0"/>
      <w:spacing w:lineRule="auto" w:line="240" w:before="0" w:after="0"/>
      <w:jc w:val="left"/>
    </w:pPr>
    <w:rPr>
      <w:rFonts w:ascii="Trebuchet MS" w:hAnsi="Trebuchet MS" w:eastAsia="Calibri" w:cs="Times New Roman" w:eastAsia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c5f64"/>
    <w:rPr>
      <w:rFonts w:ascii="Trebuchet MS" w:hAnsi="Trebuchet MS" w:eastAsia="Calibri" w:cs="Times New Roman"/>
      <w:lang w:val="en-US"/>
    </w:rPr>
  </w:style>
  <w:style w:type="character" w:styleId="Style14">
    <w:name w:val="ইন্টারনেট লিংক"/>
    <w:basedOn w:val="DefaultParagraphFont"/>
    <w:uiPriority w:val="99"/>
    <w:unhideWhenUsed/>
    <w:rsid w:val="002c5f64"/>
    <w:rPr>
      <w:color w:val="0000FF"/>
      <w:u w:val="single"/>
    </w:rPr>
  </w:style>
  <w:style w:type="character" w:styleId="BalloonTextChar" w:customStyle="1">
    <w:name w:val="Balloon Text Char"/>
    <w:basedOn w:val="DefaultParagraphFont"/>
    <w:link w:val="BalloonText"/>
    <w:uiPriority w:val="99"/>
    <w:semiHidden/>
    <w:qFormat/>
    <w:rsid w:val="0002432f"/>
    <w:rPr>
      <w:rFonts w:ascii="Segoe UI" w:hAnsi="Segoe UI" w:eastAsia="Calibri" w:cs="Segoe UI"/>
      <w:sz w:val="18"/>
      <w:szCs w:val="18"/>
      <w:lang w:val="en-US"/>
    </w:rPr>
  </w:style>
  <w:style w:type="paragraph" w:styleId="Style15">
    <w:name w:val="শিরোনাম"/>
    <w:basedOn w:val="Normal"/>
    <w:next w:val="TextBody"/>
    <w:qFormat/>
    <w:pPr>
      <w:keepNext/>
      <w:spacing w:before="240" w:after="120"/>
    </w:pPr>
    <w:rPr>
      <w:rFonts w:ascii="Liberation Sans" w:hAnsi="Liberation Sans" w:eastAsia="Noto Sans CJK SC Regular" w:cs="Mukti Narrow"/>
      <w:sz w:val="28"/>
      <w:szCs w:val="28"/>
    </w:rPr>
  </w:style>
  <w:style w:type="paragraph" w:styleId="TextBody">
    <w:name w:val="Body Text"/>
    <w:basedOn w:val="Normal"/>
    <w:pPr>
      <w:spacing w:lineRule="auto" w:line="288" w:before="0" w:after="140"/>
    </w:pPr>
    <w:rPr/>
  </w:style>
  <w:style w:type="paragraph" w:styleId="Style16">
    <w:name w:val="List"/>
    <w:basedOn w:val="TextBody"/>
    <w:pPr/>
    <w:rPr>
      <w:rFonts w:cs="Mukti Narrow"/>
    </w:rPr>
  </w:style>
  <w:style w:type="paragraph" w:styleId="Style17">
    <w:name w:val="Caption"/>
    <w:basedOn w:val="Normal"/>
    <w:qFormat/>
    <w:pPr>
      <w:suppressLineNumbers/>
      <w:spacing w:before="120" w:after="120"/>
    </w:pPr>
    <w:rPr>
      <w:rFonts w:cs="Mukti Narrow"/>
      <w:i/>
      <w:iCs/>
      <w:sz w:val="24"/>
      <w:szCs w:val="24"/>
    </w:rPr>
  </w:style>
  <w:style w:type="paragraph" w:styleId="Style18">
    <w:name w:val="সূচি"/>
    <w:basedOn w:val="Normal"/>
    <w:qFormat/>
    <w:pPr>
      <w:suppressLineNumbers/>
    </w:pPr>
    <w:rPr>
      <w:rFonts w:cs="Mukti Narrow"/>
    </w:rPr>
  </w:style>
  <w:style w:type="paragraph" w:styleId="Style19">
    <w:name w:val="Header"/>
    <w:basedOn w:val="Normal"/>
    <w:link w:val="HeaderChar"/>
    <w:uiPriority w:val="99"/>
    <w:unhideWhenUsed/>
    <w:rsid w:val="002c5f64"/>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02432f"/>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c5f64"/>
    <w:pPr>
      <w:spacing w:after="0" w:line="240" w:lineRule="auto"/>
    </w:pPr>
    <w:rPr>
      <w:lang w:eastAsia="en-I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df00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1c7aa1"/>
    <w:pPr>
      <w:spacing w:after="0" w:line="240" w:lineRule="auto"/>
    </w:pPr>
    <w:rPr>
      <w:lang w:eastAsia="en-I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1c7aa1"/>
    <w:pPr>
      <w:spacing w:after="0" w:line="240" w:lineRule="auto"/>
    </w:pPr>
    <w:rPr>
      <w:lang w:eastAsia="en-I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iiitkalyani.edu.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2</Pages>
  <Words>474</Words>
  <Characters>2479</Characters>
  <CharactersWithSpaces>2850</CharactersWithSpaces>
  <Paragraphs>141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2018-08-31T08:30:00Z</dcterms:created>
  <dc:creator>I I I T</dc:creator>
  <dc:description/>
  <dc:language>bn-IN</dc:language>
  <cp:lastModifiedBy/>
  <cp:lastPrinted>2018-07-12T07:10:00Z</cp:lastPrinted>
  <dcterms:modified xsi:type="dcterms:W3CDTF">2018-09-02T12:54:14Z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