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F64" w:rsidRDefault="002C5F64" w:rsidP="002C5F64">
      <w:pPr>
        <w:tabs>
          <w:tab w:val="left" w:pos="5978"/>
        </w:tabs>
      </w:pPr>
    </w:p>
    <w:p w:rsidR="00DF007C" w:rsidRPr="00DF007C" w:rsidRDefault="00DF007C" w:rsidP="00DF007C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/>
          <w:b/>
          <w:bCs/>
          <w:sz w:val="27"/>
          <w:szCs w:val="27"/>
          <w:lang w:val="en-IN" w:eastAsia="en-IN"/>
        </w:rPr>
      </w:pPr>
      <w:r w:rsidRPr="00DF007C">
        <w:rPr>
          <w:rFonts w:ascii="Times New Roman" w:eastAsia="Times New Roman" w:hAnsi="Times New Roman"/>
          <w:b/>
          <w:bCs/>
          <w:sz w:val="27"/>
          <w:szCs w:val="27"/>
          <w:lang w:val="en-IN" w:eastAsia="en-IN"/>
        </w:rPr>
        <w:t xml:space="preserve">Notice Inviting Quotations </w:t>
      </w:r>
    </w:p>
    <w:p w:rsidR="00DF007C" w:rsidRPr="00DF007C" w:rsidRDefault="00A4031C" w:rsidP="00DF007C">
      <w:pPr>
        <w:jc w:val="center"/>
        <w:rPr>
          <w:rFonts w:ascii="Times New Roman" w:eastAsia="Times New Roman" w:hAnsi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/>
          <w:sz w:val="24"/>
          <w:szCs w:val="24"/>
          <w:lang w:val="en-IN" w:eastAsia="en-IN"/>
        </w:rPr>
        <w:t>F</w:t>
      </w:r>
      <w:r w:rsidR="00DF007C"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or 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Office Stationary Items</w:t>
      </w:r>
      <w:r w:rsidR="00DF007C"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</w:p>
    <w:p w:rsidR="00DF007C" w:rsidRPr="00DF007C" w:rsidRDefault="00DF007C" w:rsidP="00DF007C">
      <w:pPr>
        <w:jc w:val="center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DF007C" w:rsidRPr="00DF007C" w:rsidRDefault="00DF007C" w:rsidP="00DF007C">
      <w:pPr>
        <w:jc w:val="center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</w:p>
    <w:p w:rsidR="00DF007C" w:rsidRPr="00DF007C" w:rsidRDefault="00DF007C" w:rsidP="00DF007C">
      <w:pPr>
        <w:jc w:val="center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 </w:t>
      </w:r>
      <w:proofErr w:type="gramStart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Ref :</w:t>
      </w:r>
      <w:proofErr w:type="gramEnd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IIITK/Enquiry/201</w:t>
      </w:r>
      <w:r>
        <w:rPr>
          <w:rFonts w:ascii="Times New Roman" w:eastAsia="Times New Roman" w:hAnsi="Times New Roman"/>
          <w:sz w:val="24"/>
          <w:szCs w:val="24"/>
          <w:lang w:val="en-IN" w:eastAsia="en-IN"/>
        </w:rPr>
        <w:t>8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/</w:t>
      </w:r>
      <w:r w:rsidR="00A4031C">
        <w:rPr>
          <w:rFonts w:ascii="Times New Roman" w:eastAsia="Times New Roman" w:hAnsi="Times New Roman"/>
          <w:sz w:val="24"/>
          <w:szCs w:val="24"/>
          <w:lang w:val="en-IN" w:eastAsia="en-IN"/>
        </w:rPr>
        <w:t>78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ab/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ab/>
        <w:t xml:space="preserve">Dated     </w:t>
      </w:r>
      <w:r w:rsidR="00A4031C">
        <w:rPr>
          <w:rFonts w:ascii="Times New Roman" w:eastAsia="Times New Roman" w:hAnsi="Times New Roman"/>
          <w:sz w:val="24"/>
          <w:szCs w:val="24"/>
          <w:lang w:val="en-IN" w:eastAsia="en-IN"/>
        </w:rPr>
        <w:t>31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.</w:t>
      </w:r>
      <w:r w:rsidR="00A4031C">
        <w:rPr>
          <w:rFonts w:ascii="Times New Roman" w:eastAsia="Times New Roman" w:hAnsi="Times New Roman"/>
          <w:sz w:val="24"/>
          <w:szCs w:val="24"/>
          <w:lang w:val="en-IN" w:eastAsia="en-IN"/>
        </w:rPr>
        <w:t>07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.201</w:t>
      </w:r>
      <w:r w:rsidR="00A4031C">
        <w:rPr>
          <w:rFonts w:ascii="Times New Roman" w:eastAsia="Times New Roman" w:hAnsi="Times New Roman"/>
          <w:sz w:val="24"/>
          <w:szCs w:val="24"/>
          <w:lang w:val="en-IN" w:eastAsia="en-IN"/>
        </w:rPr>
        <w:t>8</w:t>
      </w:r>
    </w:p>
    <w:p w:rsidR="00DF007C" w:rsidRDefault="00DF007C" w:rsidP="00DF007C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Sealed Quotations are invited from </w:t>
      </w:r>
      <w:proofErr w:type="spellStart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bonafide</w:t>
      </w:r>
      <w:proofErr w:type="spellEnd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vendors/suppliers/manufactures for the following </w:t>
      </w:r>
      <w:r w:rsidR="00A4031C">
        <w:rPr>
          <w:rFonts w:ascii="Times New Roman" w:eastAsia="Times New Roman" w:hAnsi="Times New Roman"/>
          <w:sz w:val="24"/>
          <w:szCs w:val="24"/>
          <w:lang w:val="en-IN" w:eastAsia="en-IN"/>
        </w:rPr>
        <w:t>stationary items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</w:t>
      </w:r>
      <w:r w:rsidR="00525E6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before </w:t>
      </w:r>
      <w:r w:rsidR="00525E69" w:rsidRPr="00525E69">
        <w:rPr>
          <w:rFonts w:ascii="Times New Roman" w:eastAsia="Times New Roman" w:hAnsi="Times New Roman"/>
          <w:b/>
          <w:sz w:val="24"/>
          <w:szCs w:val="24"/>
          <w:lang w:val="en-IN" w:eastAsia="en-IN"/>
        </w:rPr>
        <w:t>23.08.2018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. Vender should be very well familiar with the </w:t>
      </w:r>
      <w:r w:rsidR="00A4031C">
        <w:rPr>
          <w:rFonts w:ascii="Times New Roman" w:eastAsia="Times New Roman" w:hAnsi="Times New Roman"/>
          <w:sz w:val="24"/>
          <w:szCs w:val="24"/>
          <w:lang w:val="en-IN" w:eastAsia="en-IN"/>
        </w:rPr>
        <w:t>items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. Rates should be inclusive of all taxes and charges, if any including delivery.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3402"/>
        <w:gridCol w:w="4739"/>
      </w:tblGrid>
      <w:tr w:rsidR="00970CAE" w:rsidRPr="00305D75" w:rsidTr="009A3A21">
        <w:tc>
          <w:tcPr>
            <w:tcW w:w="1101" w:type="dxa"/>
          </w:tcPr>
          <w:p w:rsidR="00970CAE" w:rsidRPr="00305D75" w:rsidRDefault="00970CAE" w:rsidP="009A3A21">
            <w:pPr>
              <w:rPr>
                <w:b/>
                <w:lang w:val="en-IN"/>
              </w:rPr>
            </w:pPr>
            <w:r w:rsidRPr="00305D75">
              <w:rPr>
                <w:b/>
                <w:lang w:val="en-IN"/>
              </w:rPr>
              <w:t>Sr. No</w:t>
            </w:r>
          </w:p>
        </w:tc>
        <w:tc>
          <w:tcPr>
            <w:tcW w:w="3402" w:type="dxa"/>
          </w:tcPr>
          <w:p w:rsidR="00970CAE" w:rsidRPr="00305D75" w:rsidRDefault="00970CAE" w:rsidP="009A3A21">
            <w:pPr>
              <w:jc w:val="center"/>
              <w:rPr>
                <w:b/>
                <w:lang w:val="en-IN"/>
              </w:rPr>
            </w:pPr>
            <w:r w:rsidRPr="00305D75">
              <w:rPr>
                <w:b/>
                <w:lang w:val="en-IN"/>
              </w:rPr>
              <w:t>Items</w:t>
            </w:r>
          </w:p>
        </w:tc>
        <w:tc>
          <w:tcPr>
            <w:tcW w:w="4739" w:type="dxa"/>
          </w:tcPr>
          <w:p w:rsidR="00970CAE" w:rsidRPr="00305D75" w:rsidRDefault="00970CAE" w:rsidP="009A3A21">
            <w:pPr>
              <w:jc w:val="center"/>
              <w:rPr>
                <w:b/>
                <w:lang w:val="en-IN"/>
              </w:rPr>
            </w:pPr>
            <w:r w:rsidRPr="00305D75">
              <w:rPr>
                <w:b/>
                <w:lang w:val="en-IN"/>
              </w:rPr>
              <w:t>Quantity</w:t>
            </w:r>
            <w:r>
              <w:rPr>
                <w:b/>
                <w:lang w:val="en-IN"/>
              </w:rPr>
              <w:t xml:space="preserve"> ( 1 unit for all items)</w:t>
            </w:r>
          </w:p>
        </w:tc>
      </w:tr>
      <w:tr w:rsidR="00970CAE" w:rsidRPr="00D90930" w:rsidTr="009A3A21">
        <w:tc>
          <w:tcPr>
            <w:tcW w:w="1101" w:type="dxa"/>
          </w:tcPr>
          <w:p w:rsidR="00970CAE" w:rsidRPr="00D90930" w:rsidRDefault="00970CAE" w:rsidP="009A3A21">
            <w:pPr>
              <w:rPr>
                <w:lang w:val="en-IN"/>
              </w:rPr>
            </w:pPr>
            <w:r w:rsidRPr="00D90930">
              <w:rPr>
                <w:lang w:val="en-IN"/>
              </w:rPr>
              <w:t>1.</w:t>
            </w:r>
          </w:p>
        </w:tc>
        <w:tc>
          <w:tcPr>
            <w:tcW w:w="3402" w:type="dxa"/>
          </w:tcPr>
          <w:p w:rsidR="00970CAE" w:rsidRPr="00D90930" w:rsidRDefault="00970CAE" w:rsidP="009A3A21">
            <w:pPr>
              <w:jc w:val="center"/>
              <w:rPr>
                <w:lang w:val="en-IN"/>
              </w:rPr>
            </w:pPr>
            <w:r w:rsidRPr="00D90930">
              <w:rPr>
                <w:lang w:val="en-IN"/>
              </w:rPr>
              <w:t>A-3 pages</w:t>
            </w:r>
          </w:p>
        </w:tc>
        <w:tc>
          <w:tcPr>
            <w:tcW w:w="4739" w:type="dxa"/>
          </w:tcPr>
          <w:p w:rsidR="00970CAE" w:rsidRPr="00D90930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RPr="00D90930" w:rsidTr="009A3A21">
        <w:tc>
          <w:tcPr>
            <w:tcW w:w="1101" w:type="dxa"/>
          </w:tcPr>
          <w:p w:rsidR="00970CAE" w:rsidRPr="00D90930" w:rsidRDefault="00970CAE" w:rsidP="009A3A21">
            <w:pPr>
              <w:rPr>
                <w:lang w:val="en-IN"/>
              </w:rPr>
            </w:pPr>
            <w:r w:rsidRPr="00D90930">
              <w:rPr>
                <w:lang w:val="en-IN"/>
              </w:rPr>
              <w:t>2.</w:t>
            </w:r>
          </w:p>
        </w:tc>
        <w:tc>
          <w:tcPr>
            <w:tcW w:w="3402" w:type="dxa"/>
          </w:tcPr>
          <w:p w:rsidR="00970CAE" w:rsidRPr="00D90930" w:rsidRDefault="00970CAE" w:rsidP="009A3A21">
            <w:pPr>
              <w:jc w:val="center"/>
              <w:rPr>
                <w:lang w:val="en-IN"/>
              </w:rPr>
            </w:pPr>
            <w:r w:rsidRPr="00D90930">
              <w:rPr>
                <w:lang w:val="en-IN"/>
              </w:rPr>
              <w:t xml:space="preserve">A-4 pages </w:t>
            </w:r>
          </w:p>
        </w:tc>
        <w:tc>
          <w:tcPr>
            <w:tcW w:w="4739" w:type="dxa"/>
          </w:tcPr>
          <w:p w:rsidR="00970CAE" w:rsidRPr="00D90930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RPr="00D90930" w:rsidTr="009A3A21">
        <w:tc>
          <w:tcPr>
            <w:tcW w:w="1101" w:type="dxa"/>
          </w:tcPr>
          <w:p w:rsidR="00970CAE" w:rsidRPr="00D90930" w:rsidRDefault="00970CAE" w:rsidP="009A3A21">
            <w:pPr>
              <w:rPr>
                <w:lang w:val="en-IN"/>
              </w:rPr>
            </w:pPr>
            <w:r w:rsidRPr="00D90930">
              <w:rPr>
                <w:lang w:val="en-IN"/>
              </w:rPr>
              <w:t>3.</w:t>
            </w:r>
          </w:p>
        </w:tc>
        <w:tc>
          <w:tcPr>
            <w:tcW w:w="3402" w:type="dxa"/>
          </w:tcPr>
          <w:p w:rsidR="00970CAE" w:rsidRPr="00D90930" w:rsidRDefault="00970CAE" w:rsidP="009A3A21">
            <w:pPr>
              <w:jc w:val="center"/>
              <w:rPr>
                <w:lang w:val="en-IN"/>
              </w:rPr>
            </w:pPr>
            <w:r w:rsidRPr="00D90930">
              <w:rPr>
                <w:lang w:val="en-IN"/>
              </w:rPr>
              <w:t>A-5 pages</w:t>
            </w:r>
          </w:p>
        </w:tc>
        <w:tc>
          <w:tcPr>
            <w:tcW w:w="4739" w:type="dxa"/>
          </w:tcPr>
          <w:p w:rsidR="00970CAE" w:rsidRPr="00D90930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4.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Bond Paper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5.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Brown Paper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6.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Correction Pen 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7.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Highlighter Pen 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8.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Dot pen 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9.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White Board Marker Pen(Black)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10.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White Board Marker Pen(Red)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11.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White Board Marker Pen(Blue)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12.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White Board Marker Ink(Black)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13.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White Board Marker Ink (Red)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14.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White Board Marker Ink(Blue)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15.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Steel Scale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16.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Pencil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17.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Eraser 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18.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proofErr w:type="spellStart"/>
            <w:r>
              <w:rPr>
                <w:lang w:val="en-IN"/>
              </w:rPr>
              <w:t>Sharpner</w:t>
            </w:r>
            <w:proofErr w:type="spellEnd"/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19.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Scissors(Small)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20.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Scissors(big)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.21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Punching Machine Small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22.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Stapler Machine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23.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>Stapler Pin Small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RPr="00D90930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24.</w:t>
            </w:r>
          </w:p>
        </w:tc>
        <w:tc>
          <w:tcPr>
            <w:tcW w:w="3402" w:type="dxa"/>
          </w:tcPr>
          <w:p w:rsidR="00970CAE" w:rsidRPr="00D90930" w:rsidRDefault="00970CAE" w:rsidP="009A3A21">
            <w:pPr>
              <w:jc w:val="center"/>
              <w:rPr>
                <w:lang w:val="en-IN"/>
              </w:rPr>
            </w:pPr>
            <w:r w:rsidRPr="00D90930">
              <w:rPr>
                <w:lang w:val="en-IN"/>
              </w:rPr>
              <w:t xml:space="preserve">Arch  File </w:t>
            </w:r>
          </w:p>
        </w:tc>
        <w:tc>
          <w:tcPr>
            <w:tcW w:w="4739" w:type="dxa"/>
          </w:tcPr>
          <w:p w:rsidR="00970CAE" w:rsidRPr="00D90930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RPr="00D90930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25.</w:t>
            </w:r>
          </w:p>
        </w:tc>
        <w:tc>
          <w:tcPr>
            <w:tcW w:w="3402" w:type="dxa"/>
          </w:tcPr>
          <w:p w:rsidR="00970CAE" w:rsidRPr="00D90930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Board File </w:t>
            </w:r>
          </w:p>
        </w:tc>
        <w:tc>
          <w:tcPr>
            <w:tcW w:w="4739" w:type="dxa"/>
          </w:tcPr>
          <w:p w:rsidR="00970CAE" w:rsidRPr="00D90930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26.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Cover file 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27.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Plastic Folder File 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28.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Punching File 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29.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A-4 Size double clip plastic file 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  <w:tr w:rsidR="00970CAE" w:rsidTr="009A3A21">
        <w:tc>
          <w:tcPr>
            <w:tcW w:w="1101" w:type="dxa"/>
          </w:tcPr>
          <w:p w:rsidR="00970CAE" w:rsidRDefault="00970CAE" w:rsidP="009A3A21">
            <w:pPr>
              <w:rPr>
                <w:lang w:val="en-IN"/>
              </w:rPr>
            </w:pPr>
            <w:r>
              <w:rPr>
                <w:lang w:val="en-IN"/>
              </w:rPr>
              <w:t>30.</w:t>
            </w:r>
          </w:p>
        </w:tc>
        <w:tc>
          <w:tcPr>
            <w:tcW w:w="3402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  <w:r>
              <w:rPr>
                <w:lang w:val="en-IN"/>
              </w:rPr>
              <w:t xml:space="preserve">L Folder file </w:t>
            </w:r>
          </w:p>
        </w:tc>
        <w:tc>
          <w:tcPr>
            <w:tcW w:w="4739" w:type="dxa"/>
          </w:tcPr>
          <w:p w:rsidR="00970CAE" w:rsidRDefault="00970CAE" w:rsidP="009A3A21">
            <w:pPr>
              <w:jc w:val="center"/>
              <w:rPr>
                <w:lang w:val="en-IN"/>
              </w:rPr>
            </w:pPr>
          </w:p>
        </w:tc>
      </w:tr>
    </w:tbl>
    <w:p w:rsidR="00DF007C" w:rsidRPr="00DF007C" w:rsidRDefault="00DF007C" w:rsidP="00DF007C">
      <w:pPr>
        <w:spacing w:before="100" w:beforeAutospacing="1" w:after="100" w:afterAutospacing="1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Quotations are to be submitted in closed sealed cover within </w:t>
      </w:r>
      <w:r w:rsidR="00525E69">
        <w:rPr>
          <w:rFonts w:ascii="Times New Roman" w:eastAsia="Times New Roman" w:hAnsi="Times New Roman"/>
          <w:sz w:val="24"/>
          <w:szCs w:val="24"/>
          <w:lang w:val="en-IN" w:eastAsia="en-IN"/>
        </w:rPr>
        <w:t>23</w:t>
      </w:r>
      <w:r w:rsidR="00525E69" w:rsidRPr="00525E69">
        <w:rPr>
          <w:rFonts w:ascii="Times New Roman" w:eastAsia="Times New Roman" w:hAnsi="Times New Roman"/>
          <w:sz w:val="24"/>
          <w:szCs w:val="24"/>
          <w:vertAlign w:val="superscript"/>
          <w:lang w:val="en-IN" w:eastAsia="en-IN"/>
        </w:rPr>
        <w:t>rd</w:t>
      </w:r>
      <w:r w:rsidR="00525E69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August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, 201</w:t>
      </w:r>
      <w:r w:rsidR="00525E69">
        <w:rPr>
          <w:rFonts w:ascii="Times New Roman" w:eastAsia="Times New Roman" w:hAnsi="Times New Roman"/>
          <w:sz w:val="24"/>
          <w:szCs w:val="24"/>
          <w:lang w:val="en-IN" w:eastAsia="en-IN"/>
        </w:rPr>
        <w:t>8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4:00 pm and the work is to be completed </w:t>
      </w:r>
      <w:r w:rsidR="00525E69">
        <w:rPr>
          <w:rFonts w:ascii="Times New Roman" w:eastAsia="Times New Roman" w:hAnsi="Times New Roman"/>
          <w:sz w:val="24"/>
          <w:szCs w:val="24"/>
          <w:lang w:val="en-IN" w:eastAsia="en-IN"/>
        </w:rPr>
        <w:t>as and when required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. In case of failure to complete the work in time, order will be cancelled automatically without assigning any reason. Payment will be made by cheque. The IIIT, </w:t>
      </w:r>
      <w:proofErr w:type="spellStart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Kalyani</w:t>
      </w:r>
      <w:proofErr w:type="spellEnd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reserves the right to accept and/or reject any or all proposal submitted against this </w:t>
      </w:r>
      <w:r w:rsidR="00525E69">
        <w:rPr>
          <w:rFonts w:ascii="Times New Roman" w:eastAsia="Times New Roman" w:hAnsi="Times New Roman"/>
          <w:sz w:val="24"/>
          <w:szCs w:val="24"/>
          <w:lang w:val="en-IN" w:eastAsia="en-IN"/>
        </w:rPr>
        <w:t>enquiry</w:t>
      </w: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without assigning any reason whatsoever.</w:t>
      </w:r>
    </w:p>
    <w:p w:rsidR="00970CAE" w:rsidRDefault="00970CAE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525E69" w:rsidRDefault="00525E69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525E69" w:rsidRDefault="00525E69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ED5198" w:rsidRDefault="00ED5198" w:rsidP="00970CAE">
      <w:pPr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970CAE" w:rsidRPr="00DF007C" w:rsidRDefault="00970CAE" w:rsidP="00970CAE">
      <w:pPr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bookmarkStart w:id="0" w:name="_GoBack"/>
      <w:bookmarkEnd w:id="0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Notes:</w:t>
      </w:r>
    </w:p>
    <w:p w:rsidR="00970CAE" w:rsidRDefault="00970CAE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1. All rates should be inclusive of the existing taxes.</w:t>
      </w:r>
    </w:p>
    <w:p w:rsidR="00DF007C" w:rsidRPr="00DF007C" w:rsidRDefault="00DF007C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2. Transportation and installation cast will be borne by the company.</w:t>
      </w:r>
    </w:p>
    <w:p w:rsidR="00DF007C" w:rsidRPr="00DF007C" w:rsidRDefault="00DF007C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3. Lowest rate offered will not be that only criterion of this work. Quality, experience, credential will be given equal importance in this process.</w:t>
      </w:r>
    </w:p>
    <w:p w:rsidR="00DF007C" w:rsidRPr="00DF007C" w:rsidRDefault="00DF007C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4. The PAN number should be mentioned. The clearance/ no dues certificates issued by Income Tax Department shall be attached, Trade license.</w:t>
      </w:r>
    </w:p>
    <w:p w:rsidR="00DF007C" w:rsidRPr="00DF007C" w:rsidRDefault="00DF007C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DF007C" w:rsidRPr="00DF007C" w:rsidRDefault="00DF007C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DF007C" w:rsidRPr="00DF007C" w:rsidRDefault="00DF007C" w:rsidP="00DF007C">
      <w:pPr>
        <w:ind w:left="284" w:hanging="284"/>
        <w:jc w:val="both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DF007C" w:rsidRPr="00DF007C" w:rsidRDefault="00DF007C" w:rsidP="00DF007C">
      <w:pPr>
        <w:ind w:right="237"/>
        <w:jc w:val="right"/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DF007C" w:rsidRPr="00DF007C" w:rsidRDefault="00DF007C" w:rsidP="00DF007C">
      <w:pPr>
        <w:ind w:right="237"/>
        <w:jc w:val="right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 xml:space="preserve"> (S.N. </w:t>
      </w:r>
      <w:proofErr w:type="spellStart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Datta</w:t>
      </w:r>
      <w:proofErr w:type="spellEnd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)</w:t>
      </w:r>
    </w:p>
    <w:p w:rsidR="00DF007C" w:rsidRPr="00DF007C" w:rsidRDefault="00DF007C" w:rsidP="00DF007C">
      <w:pPr>
        <w:jc w:val="right"/>
        <w:rPr>
          <w:rFonts w:ascii="Times New Roman" w:eastAsia="Times New Roman" w:hAnsi="Times New Roman"/>
          <w:sz w:val="24"/>
          <w:szCs w:val="24"/>
          <w:lang w:val="en-IN" w:eastAsia="en-IN"/>
        </w:rPr>
      </w:pPr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Registrar (</w:t>
      </w:r>
      <w:proofErr w:type="spellStart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Offg</w:t>
      </w:r>
      <w:proofErr w:type="spellEnd"/>
      <w:r w:rsidRPr="00DF007C">
        <w:rPr>
          <w:rFonts w:ascii="Times New Roman" w:eastAsia="Times New Roman" w:hAnsi="Times New Roman"/>
          <w:sz w:val="24"/>
          <w:szCs w:val="24"/>
          <w:lang w:val="en-IN" w:eastAsia="en-IN"/>
        </w:rPr>
        <w:t>.)</w:t>
      </w:r>
    </w:p>
    <w:p w:rsidR="00DF007C" w:rsidRPr="00DF007C" w:rsidRDefault="00DF007C" w:rsidP="00DF007C">
      <w:pPr>
        <w:rPr>
          <w:rFonts w:ascii="Times New Roman" w:eastAsia="Times New Roman" w:hAnsi="Times New Roman"/>
          <w:sz w:val="24"/>
          <w:szCs w:val="24"/>
          <w:lang w:val="en-IN" w:eastAsia="en-IN"/>
        </w:rPr>
      </w:pPr>
    </w:p>
    <w:p w:rsidR="00DF007C" w:rsidRPr="00DF007C" w:rsidRDefault="00DF007C" w:rsidP="00DF007C">
      <w:pPr>
        <w:jc w:val="both"/>
        <w:rPr>
          <w:rFonts w:ascii="Times New Roman" w:hAnsi="Times New Roman"/>
          <w:sz w:val="24"/>
          <w:szCs w:val="24"/>
        </w:rPr>
      </w:pPr>
    </w:p>
    <w:p w:rsidR="00DF007C" w:rsidRPr="00DF007C" w:rsidRDefault="00DF007C" w:rsidP="00DF007C">
      <w:pPr>
        <w:jc w:val="both"/>
        <w:rPr>
          <w:rFonts w:ascii="Times New Roman" w:hAnsi="Times New Roman"/>
          <w:sz w:val="24"/>
          <w:szCs w:val="24"/>
        </w:rPr>
      </w:pPr>
    </w:p>
    <w:p w:rsidR="007A5F09" w:rsidRPr="00990401" w:rsidRDefault="007A5F09"/>
    <w:sectPr w:rsidR="007A5F09" w:rsidRPr="00990401" w:rsidSect="00846E9E">
      <w:headerReference w:type="default" r:id="rId6"/>
      <w:pgSz w:w="11906" w:h="16838"/>
      <w:pgMar w:top="720" w:right="720" w:bottom="720" w:left="720" w:header="27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E4E" w:rsidRDefault="00A01E4E" w:rsidP="000C789C">
      <w:r>
        <w:separator/>
      </w:r>
    </w:p>
  </w:endnote>
  <w:endnote w:type="continuationSeparator" w:id="0">
    <w:p w:rsidR="00A01E4E" w:rsidRDefault="00A01E4E" w:rsidP="000C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E4E" w:rsidRDefault="00A01E4E" w:rsidP="000C789C">
      <w:r>
        <w:separator/>
      </w:r>
    </w:p>
  </w:footnote>
  <w:footnote w:type="continuationSeparator" w:id="0">
    <w:p w:rsidR="00A01E4E" w:rsidRDefault="00A01E4E" w:rsidP="000C78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55F4" w:rsidRDefault="00A01E4E" w:rsidP="00550781">
    <w:pPr>
      <w:pStyle w:val="Header"/>
      <w:tabs>
        <w:tab w:val="clear" w:pos="4680"/>
        <w:tab w:val="clear" w:pos="9360"/>
        <w:tab w:val="center" w:pos="5245"/>
        <w:tab w:val="right" w:pos="9639"/>
      </w:tabs>
      <w:ind w:left="851"/>
      <w:jc w:val="center"/>
    </w:pPr>
  </w:p>
  <w:p w:rsidR="00E655F4" w:rsidRDefault="002C5F64" w:rsidP="00550781">
    <w:pPr>
      <w:pStyle w:val="Header"/>
      <w:tabs>
        <w:tab w:val="clear" w:pos="4680"/>
        <w:tab w:val="clear" w:pos="9360"/>
        <w:tab w:val="center" w:pos="5245"/>
        <w:tab w:val="right" w:pos="9639"/>
      </w:tabs>
      <w:ind w:left="851"/>
      <w:jc w:val="center"/>
    </w:pPr>
    <w:r>
      <w:rPr>
        <w:noProof/>
        <w:lang w:val="en-IN" w:eastAsia="en-IN"/>
      </w:rPr>
      <w:drawing>
        <wp:anchor distT="0" distB="0" distL="0" distR="0" simplePos="0" relativeHeight="251660288" behindDoc="0" locked="0" layoutInCell="1" allowOverlap="1">
          <wp:simplePos x="0" y="0"/>
          <wp:positionH relativeFrom="page">
            <wp:posOffset>688340</wp:posOffset>
          </wp:positionH>
          <wp:positionV relativeFrom="paragraph">
            <wp:posOffset>48895</wp:posOffset>
          </wp:positionV>
          <wp:extent cx="810260" cy="858520"/>
          <wp:effectExtent l="19050" t="0" r="8890" b="0"/>
          <wp:wrapTopAndBottom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10260" cy="858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655F4" w:rsidRPr="00437355" w:rsidRDefault="002C5F64" w:rsidP="00550781">
    <w:pPr>
      <w:pStyle w:val="Header"/>
      <w:tabs>
        <w:tab w:val="clear" w:pos="4680"/>
        <w:tab w:val="clear" w:pos="9360"/>
        <w:tab w:val="center" w:pos="5245"/>
        <w:tab w:val="right" w:pos="9639"/>
      </w:tabs>
      <w:ind w:left="851" w:right="310"/>
      <w:jc w:val="center"/>
      <w:rPr>
        <w:b/>
        <w:sz w:val="24"/>
        <w:szCs w:val="24"/>
      </w:rPr>
    </w:pPr>
    <w:r w:rsidRPr="00437355">
      <w:rPr>
        <w:b/>
        <w:sz w:val="24"/>
        <w:szCs w:val="24"/>
      </w:rPr>
      <w:t xml:space="preserve">INDIAN INSTITUTE OF INFORMATION TECHNOLOGY, KALYANI </w:t>
    </w:r>
  </w:p>
  <w:p w:rsidR="00E655F4" w:rsidRDefault="002C5F64" w:rsidP="00550781">
    <w:pPr>
      <w:pStyle w:val="Header"/>
      <w:tabs>
        <w:tab w:val="clear" w:pos="4680"/>
        <w:tab w:val="clear" w:pos="9360"/>
        <w:tab w:val="center" w:pos="5245"/>
        <w:tab w:val="right" w:pos="9639"/>
      </w:tabs>
      <w:ind w:left="851" w:right="310"/>
      <w:jc w:val="center"/>
      <w:rPr>
        <w:b/>
        <w:sz w:val="16"/>
        <w:szCs w:val="16"/>
      </w:rPr>
    </w:pPr>
    <w:r>
      <w:rPr>
        <w:b/>
        <w:sz w:val="16"/>
        <w:szCs w:val="16"/>
      </w:rPr>
      <w:t>Au</w:t>
    </w:r>
    <w:r w:rsidRPr="00437355">
      <w:rPr>
        <w:b/>
        <w:sz w:val="16"/>
        <w:szCs w:val="16"/>
      </w:rPr>
      <w:t xml:space="preserve">tonomous institution under MHRD, Govt. of India </w:t>
    </w:r>
  </w:p>
  <w:p w:rsidR="00E655F4" w:rsidRDefault="002C5F64" w:rsidP="00550781">
    <w:pPr>
      <w:pStyle w:val="Header"/>
      <w:tabs>
        <w:tab w:val="clear" w:pos="4680"/>
        <w:tab w:val="clear" w:pos="9360"/>
        <w:tab w:val="center" w:pos="5245"/>
        <w:tab w:val="right" w:pos="9639"/>
      </w:tabs>
      <w:ind w:left="851" w:right="310"/>
      <w:jc w:val="center"/>
      <w:rPr>
        <w:b/>
        <w:sz w:val="16"/>
        <w:szCs w:val="16"/>
      </w:rPr>
    </w:pPr>
    <w:r w:rsidRPr="00437355">
      <w:rPr>
        <w:b/>
        <w:sz w:val="16"/>
        <w:szCs w:val="16"/>
      </w:rPr>
      <w:t>&amp;</w:t>
    </w:r>
  </w:p>
  <w:p w:rsidR="00E655F4" w:rsidRDefault="002C5F64" w:rsidP="00550781">
    <w:pPr>
      <w:pStyle w:val="Header"/>
      <w:tabs>
        <w:tab w:val="clear" w:pos="4680"/>
        <w:tab w:val="clear" w:pos="9360"/>
        <w:tab w:val="center" w:pos="5245"/>
        <w:tab w:val="right" w:pos="9639"/>
      </w:tabs>
      <w:ind w:left="851" w:right="310"/>
      <w:jc w:val="center"/>
      <w:rPr>
        <w:b/>
        <w:sz w:val="16"/>
        <w:szCs w:val="16"/>
      </w:rPr>
    </w:pPr>
    <w:r w:rsidRPr="00437355">
      <w:rPr>
        <w:b/>
        <w:sz w:val="16"/>
        <w:szCs w:val="16"/>
      </w:rPr>
      <w:t xml:space="preserve"> Department of Information Technology &amp; Electronics, Govt. of West Bengal</w:t>
    </w:r>
  </w:p>
  <w:p w:rsidR="00E655F4" w:rsidRDefault="002C5F64" w:rsidP="00550781">
    <w:pPr>
      <w:pStyle w:val="Header"/>
      <w:tabs>
        <w:tab w:val="clear" w:pos="4680"/>
        <w:tab w:val="clear" w:pos="9360"/>
        <w:tab w:val="center" w:pos="5245"/>
        <w:tab w:val="right" w:pos="9639"/>
      </w:tabs>
      <w:ind w:left="851" w:right="310"/>
      <w:jc w:val="center"/>
      <w:rPr>
        <w:b/>
        <w:sz w:val="16"/>
        <w:szCs w:val="16"/>
      </w:rPr>
    </w:pPr>
    <w:r w:rsidRPr="00437355">
      <w:rPr>
        <w:b/>
        <w:sz w:val="16"/>
        <w:szCs w:val="16"/>
      </w:rPr>
      <w:t xml:space="preserve"> </w:t>
    </w:r>
    <w:r>
      <w:rPr>
        <w:b/>
        <w:sz w:val="16"/>
        <w:szCs w:val="16"/>
      </w:rPr>
      <w:t>14 No. Adivasi Para, WEBEL IT Park</w:t>
    </w:r>
    <w:r w:rsidRPr="00437355">
      <w:rPr>
        <w:b/>
        <w:sz w:val="16"/>
        <w:szCs w:val="16"/>
      </w:rPr>
      <w:t xml:space="preserve">, </w:t>
    </w:r>
    <w:proofErr w:type="spellStart"/>
    <w:r w:rsidRPr="00437355">
      <w:rPr>
        <w:b/>
        <w:sz w:val="16"/>
        <w:szCs w:val="16"/>
      </w:rPr>
      <w:t>Kalyani</w:t>
    </w:r>
    <w:proofErr w:type="spellEnd"/>
    <w:r w:rsidRPr="00437355">
      <w:rPr>
        <w:b/>
        <w:sz w:val="16"/>
        <w:szCs w:val="16"/>
      </w:rPr>
      <w:t xml:space="preserve"> -741235, </w:t>
    </w:r>
  </w:p>
  <w:p w:rsidR="00E655F4" w:rsidRDefault="002C5F64" w:rsidP="00550781">
    <w:pPr>
      <w:pStyle w:val="Header"/>
      <w:tabs>
        <w:tab w:val="clear" w:pos="4680"/>
        <w:tab w:val="clear" w:pos="9360"/>
        <w:tab w:val="center" w:pos="5245"/>
        <w:tab w:val="right" w:pos="9639"/>
      </w:tabs>
      <w:ind w:left="851" w:right="310"/>
      <w:jc w:val="center"/>
      <w:rPr>
        <w:b/>
        <w:sz w:val="16"/>
        <w:szCs w:val="16"/>
      </w:rPr>
    </w:pPr>
    <w:r w:rsidRPr="00437355">
      <w:rPr>
        <w:b/>
        <w:sz w:val="16"/>
        <w:szCs w:val="16"/>
      </w:rPr>
      <w:t>West Bengal</w:t>
    </w:r>
    <w:r>
      <w:rPr>
        <w:b/>
        <w:sz w:val="16"/>
        <w:szCs w:val="16"/>
      </w:rPr>
      <w:t>,</w:t>
    </w:r>
    <w:r w:rsidRPr="00437355">
      <w:rPr>
        <w:b/>
        <w:sz w:val="16"/>
        <w:szCs w:val="16"/>
      </w:rPr>
      <w:t xml:space="preserve"> Tel : </w:t>
    </w:r>
    <w:r>
      <w:rPr>
        <w:b/>
        <w:sz w:val="16"/>
        <w:szCs w:val="16"/>
      </w:rPr>
      <w:t>033 2582 2240, web</w:t>
    </w:r>
    <w:r w:rsidRPr="00437355">
      <w:rPr>
        <w:b/>
        <w:sz w:val="16"/>
        <w:szCs w:val="16"/>
      </w:rPr>
      <w:t xml:space="preserve">site : </w:t>
    </w:r>
    <w:hyperlink r:id="rId2" w:history="1">
      <w:r w:rsidRPr="009A43B9">
        <w:rPr>
          <w:rStyle w:val="Hyperlink"/>
          <w:b/>
          <w:sz w:val="16"/>
          <w:szCs w:val="16"/>
        </w:rPr>
        <w:t>www.iiitkalyani.edu.in</w:t>
      </w:r>
    </w:hyperlink>
  </w:p>
  <w:p w:rsidR="00E655F4" w:rsidRPr="00437355" w:rsidRDefault="00A01E4E" w:rsidP="00550781">
    <w:pPr>
      <w:pStyle w:val="Header"/>
      <w:tabs>
        <w:tab w:val="clear" w:pos="4680"/>
        <w:tab w:val="clear" w:pos="9360"/>
        <w:tab w:val="center" w:pos="5103"/>
        <w:tab w:val="center" w:pos="5245"/>
        <w:tab w:val="right" w:pos="9639"/>
      </w:tabs>
      <w:ind w:left="851"/>
      <w:jc w:val="center"/>
      <w:rPr>
        <w:b/>
        <w:sz w:val="16"/>
        <w:szCs w:val="16"/>
      </w:rPr>
    </w:pPr>
    <w:r>
      <w:rPr>
        <w:b/>
        <w:noProof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42.55pt;margin-top:10.85pt;width:598.75pt;height:1.5pt;flip:y;z-index:251661312" o:connectortype="straight" strokecolor="#00b0f0" strokeweight="2.25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5F64"/>
    <w:rsid w:val="0002432F"/>
    <w:rsid w:val="000B6392"/>
    <w:rsid w:val="000C2B5A"/>
    <w:rsid w:val="000C789C"/>
    <w:rsid w:val="00163D42"/>
    <w:rsid w:val="00187C68"/>
    <w:rsid w:val="00235559"/>
    <w:rsid w:val="00266B29"/>
    <w:rsid w:val="00287F52"/>
    <w:rsid w:val="002C5F64"/>
    <w:rsid w:val="00425F8A"/>
    <w:rsid w:val="00473373"/>
    <w:rsid w:val="00515E1C"/>
    <w:rsid w:val="00525E69"/>
    <w:rsid w:val="00576E6A"/>
    <w:rsid w:val="006F1B95"/>
    <w:rsid w:val="0073592A"/>
    <w:rsid w:val="007A5F09"/>
    <w:rsid w:val="008A687C"/>
    <w:rsid w:val="00970CAE"/>
    <w:rsid w:val="00990401"/>
    <w:rsid w:val="00A01E4E"/>
    <w:rsid w:val="00A4031C"/>
    <w:rsid w:val="00AE58EB"/>
    <w:rsid w:val="00BE6899"/>
    <w:rsid w:val="00CE48F7"/>
    <w:rsid w:val="00CF604C"/>
    <w:rsid w:val="00D01FDB"/>
    <w:rsid w:val="00DF007C"/>
    <w:rsid w:val="00E16775"/>
    <w:rsid w:val="00E42142"/>
    <w:rsid w:val="00E605A2"/>
    <w:rsid w:val="00ED5198"/>
    <w:rsid w:val="00EE2DA2"/>
    <w:rsid w:val="00FD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63CC00F"/>
  <w15:docId w15:val="{6D5264B6-5EDD-4312-96F1-21AE9D5B5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F64"/>
    <w:pPr>
      <w:spacing w:after="0" w:line="240" w:lineRule="auto"/>
    </w:pPr>
    <w:rPr>
      <w:rFonts w:ascii="Trebuchet MS" w:eastAsia="Calibri" w:hAnsi="Trebuchet MS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F6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F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F64"/>
    <w:rPr>
      <w:rFonts w:ascii="Trebuchet MS" w:eastAsia="Calibri" w:hAnsi="Trebuchet MS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2C5F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43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32F"/>
    <w:rPr>
      <w:rFonts w:ascii="Segoe UI" w:eastAsia="Calibri" w:hAnsi="Segoe UI" w:cs="Segoe UI"/>
      <w:sz w:val="18"/>
      <w:szCs w:val="18"/>
      <w:lang w:val="en-US"/>
    </w:rPr>
  </w:style>
  <w:style w:type="table" w:customStyle="1" w:styleId="TableGrid1">
    <w:name w:val="Table Grid1"/>
    <w:basedOn w:val="TableNormal"/>
    <w:next w:val="TableGrid"/>
    <w:uiPriority w:val="59"/>
    <w:rsid w:val="00DF0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8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7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iitkalyani.edu.i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I I T</dc:creator>
  <cp:lastModifiedBy>I I I T</cp:lastModifiedBy>
  <cp:revision>14</cp:revision>
  <cp:lastPrinted>2018-07-12T07:10:00Z</cp:lastPrinted>
  <dcterms:created xsi:type="dcterms:W3CDTF">2018-06-06T08:51:00Z</dcterms:created>
  <dcterms:modified xsi:type="dcterms:W3CDTF">2018-07-31T08:37:00Z</dcterms:modified>
</cp:coreProperties>
</file>