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759239" w14:textId="77777777" w:rsidR="00F628E6" w:rsidRDefault="00765A6E">
      <w:pPr>
        <w:pStyle w:val="Heading1"/>
        <w:jc w:val="center"/>
      </w:pPr>
      <w:bookmarkStart w:id="0" w:name="_gjdgxs" w:colFirst="0" w:colLast="0"/>
      <w:bookmarkEnd w:id="0"/>
      <w:r>
        <w:rPr>
          <w:u w:val="single"/>
        </w:rPr>
        <w:t>Project: Analyzing a Market Test</w:t>
      </w:r>
    </w:p>
    <w:p w14:paraId="5A774975" w14:textId="77777777" w:rsidR="00F628E6" w:rsidRDefault="00765A6E">
      <w:r>
        <w:t xml:space="preserve">Complete each section. When you are ready, save your file as a PDF document and submit it </w:t>
      </w:r>
      <w:hyperlink r:id="rId5">
        <w:r>
          <w:rPr>
            <w:color w:val="1155CC"/>
            <w:u w:val="single"/>
          </w:rPr>
          <w:t>here</w:t>
        </w:r>
      </w:hyperlink>
      <w:r>
        <w:t>.</w:t>
      </w:r>
    </w:p>
    <w:p w14:paraId="2D49E28D" w14:textId="77777777" w:rsidR="00F628E6" w:rsidRDefault="00765A6E">
      <w:pPr>
        <w:pStyle w:val="Heading2"/>
        <w:keepNext w:val="0"/>
        <w:keepLines w:val="0"/>
        <w:spacing w:before="240" w:after="40"/>
      </w:pPr>
      <w:r>
        <w:t>Step 1: Plan Your Analysis</w:t>
      </w:r>
    </w:p>
    <w:p w14:paraId="0684F4EC" w14:textId="77777777" w:rsidR="00F628E6" w:rsidRDefault="00765A6E">
      <w:pPr>
        <w:spacing w:line="240" w:lineRule="auto"/>
      </w:pPr>
      <w:r>
        <w:rPr>
          <w:i/>
        </w:rPr>
        <w:t>To perform the correct analysis, you will need to prepare a data set. (</w:t>
      </w:r>
      <w:proofErr w:type="gramStart"/>
      <w:r>
        <w:rPr>
          <w:i/>
        </w:rPr>
        <w:t>500 word</w:t>
      </w:r>
      <w:proofErr w:type="gramEnd"/>
      <w:r>
        <w:rPr>
          <w:i/>
        </w:rPr>
        <w:t xml:space="preserve"> limit)</w:t>
      </w:r>
    </w:p>
    <w:p w14:paraId="35B4AFF7" w14:textId="77777777" w:rsidR="00F628E6" w:rsidRDefault="00765A6E">
      <w:pPr>
        <w:spacing w:line="240" w:lineRule="auto"/>
      </w:pPr>
      <w:r>
        <w:rPr>
          <w:i/>
        </w:rPr>
        <w:t>Answer the following questions to help you plan out your analysis:</w:t>
      </w:r>
    </w:p>
    <w:p w14:paraId="6FCF7357" w14:textId="6E12C27A" w:rsidR="00F628E6" w:rsidRPr="00282EBC" w:rsidRDefault="00765A6E">
      <w:pPr>
        <w:numPr>
          <w:ilvl w:val="0"/>
          <w:numId w:val="3"/>
        </w:numPr>
        <w:spacing w:line="240" w:lineRule="auto"/>
        <w:ind w:hanging="360"/>
        <w:rPr>
          <w:color w:val="4BACC6" w:themeColor="accent5"/>
        </w:rPr>
      </w:pPr>
      <w:r w:rsidRPr="00282EBC">
        <w:rPr>
          <w:color w:val="4BACC6" w:themeColor="accent5"/>
        </w:rPr>
        <w:t xml:space="preserve">What is the performance metric </w:t>
      </w:r>
      <w:proofErr w:type="gramStart"/>
      <w:r w:rsidRPr="00282EBC">
        <w:rPr>
          <w:color w:val="4BACC6" w:themeColor="accent5"/>
        </w:rPr>
        <w:t>you’ll</w:t>
      </w:r>
      <w:proofErr w:type="gramEnd"/>
      <w:r w:rsidRPr="00282EBC">
        <w:rPr>
          <w:color w:val="4BACC6" w:themeColor="accent5"/>
        </w:rPr>
        <w:t xml:space="preserve"> use to evaluate the results of your test?</w:t>
      </w:r>
    </w:p>
    <w:p w14:paraId="60BBC3F2" w14:textId="301D0124" w:rsidR="00282EBC" w:rsidRPr="00282EBC" w:rsidRDefault="00282EBC" w:rsidP="00282EBC">
      <w:pPr>
        <w:spacing w:line="240" w:lineRule="auto"/>
        <w:ind w:left="720"/>
        <w:rPr>
          <w:color w:val="4BACC6" w:themeColor="accent5"/>
        </w:rPr>
      </w:pPr>
      <w:r w:rsidRPr="00282EBC">
        <w:rPr>
          <w:color w:val="4BACC6" w:themeColor="accent5"/>
        </w:rPr>
        <w:t>Round Roasters, a coffee restaurant in the United States of America, conducted a market test with a new menu and needs to figure whether the new menu can drive enough sales to offset the cost of marketing the new menu. This project is to analyze the A/B test and write up a recommendation to whether the Round Roasters chain should launch this new menu.</w:t>
      </w:r>
    </w:p>
    <w:p w14:paraId="0488BDEE" w14:textId="4D523E51" w:rsidR="00F628E6" w:rsidRDefault="00765A6E">
      <w:pPr>
        <w:numPr>
          <w:ilvl w:val="0"/>
          <w:numId w:val="3"/>
        </w:numPr>
        <w:spacing w:line="240" w:lineRule="auto"/>
        <w:ind w:hanging="360"/>
      </w:pPr>
      <w:r>
        <w:t>What is the test period?</w:t>
      </w:r>
    </w:p>
    <w:p w14:paraId="02751991" w14:textId="77777777" w:rsidR="00282EBC" w:rsidRPr="00282EBC" w:rsidRDefault="00282EBC" w:rsidP="001705AE">
      <w:pPr>
        <w:spacing w:line="240" w:lineRule="auto"/>
        <w:ind w:left="720"/>
        <w:rPr>
          <w:color w:val="4BACC6" w:themeColor="accent5"/>
        </w:rPr>
      </w:pPr>
      <w:r w:rsidRPr="00282EBC">
        <w:rPr>
          <w:color w:val="4BACC6" w:themeColor="accent5"/>
        </w:rPr>
        <w:t>Testing of the new menu lasted 12 weeks from 2016-04-29 through to 2016-07-21.</w:t>
      </w:r>
    </w:p>
    <w:p w14:paraId="616288FF" w14:textId="1C2E76C2" w:rsidR="00282EBC" w:rsidRDefault="00282EBC" w:rsidP="001705AE">
      <w:pPr>
        <w:pBdr>
          <w:top w:val="none" w:sz="0" w:space="0" w:color="auto"/>
          <w:left w:val="none" w:sz="0" w:space="0" w:color="auto"/>
          <w:bottom w:val="none" w:sz="0" w:space="0" w:color="auto"/>
          <w:right w:val="none" w:sz="0" w:space="0" w:color="auto"/>
          <w:between w:val="none" w:sz="0" w:space="0" w:color="auto"/>
        </w:pBdr>
        <w:spacing w:line="240" w:lineRule="auto"/>
        <w:ind w:left="720"/>
        <w:rPr>
          <w:color w:val="4BACC6" w:themeColor="accent5"/>
        </w:rPr>
      </w:pPr>
      <w:r w:rsidRPr="00282EBC">
        <w:rPr>
          <w:color w:val="4BACC6" w:themeColor="accent5"/>
        </w:rPr>
        <w:t xml:space="preserve">For the analysis, trend and seasonality will need to be calculated for matching of control and treatment units. This process requires 52 weeks of historical data plus another 6 periods of data on top. Since the testing was done over a </w:t>
      </w:r>
      <w:proofErr w:type="gramStart"/>
      <w:r w:rsidRPr="00282EBC">
        <w:rPr>
          <w:color w:val="4BACC6" w:themeColor="accent5"/>
        </w:rPr>
        <w:t>12 week</w:t>
      </w:r>
      <w:proofErr w:type="gramEnd"/>
      <w:r w:rsidRPr="00282EBC">
        <w:rPr>
          <w:color w:val="4BACC6" w:themeColor="accent5"/>
        </w:rPr>
        <w:t xml:space="preserve"> period, each period being 1 week, the total number of weeks needed for analysis is below:</w:t>
      </w:r>
    </w:p>
    <w:tbl>
      <w:tblPr>
        <w:tblStyle w:val="TableGrid"/>
        <w:tblW w:w="0" w:type="auto"/>
        <w:jc w:val="center"/>
        <w:tblLook w:val="04A0" w:firstRow="1" w:lastRow="0" w:firstColumn="1" w:lastColumn="0" w:noHBand="0" w:noVBand="1"/>
      </w:tblPr>
      <w:tblGrid>
        <w:gridCol w:w="3172"/>
        <w:gridCol w:w="3172"/>
      </w:tblGrid>
      <w:tr w:rsidR="00282EBC" w14:paraId="4A3D4BC6" w14:textId="77777777" w:rsidTr="00282EBC">
        <w:trPr>
          <w:trHeight w:val="250"/>
          <w:jc w:val="center"/>
        </w:trPr>
        <w:tc>
          <w:tcPr>
            <w:tcW w:w="3172" w:type="dxa"/>
          </w:tcPr>
          <w:p w14:paraId="0E2EC630"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Item</w:t>
            </w:r>
          </w:p>
        </w:tc>
        <w:tc>
          <w:tcPr>
            <w:tcW w:w="3172" w:type="dxa"/>
          </w:tcPr>
          <w:p w14:paraId="3375D370"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Period</w:t>
            </w:r>
          </w:p>
        </w:tc>
      </w:tr>
      <w:tr w:rsidR="00282EBC" w14:paraId="7C078951" w14:textId="77777777" w:rsidTr="00282EBC">
        <w:trPr>
          <w:trHeight w:val="262"/>
          <w:jc w:val="center"/>
        </w:trPr>
        <w:tc>
          <w:tcPr>
            <w:tcW w:w="3172" w:type="dxa"/>
          </w:tcPr>
          <w:p w14:paraId="2C90CDD6"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Historical Analysis</w:t>
            </w:r>
          </w:p>
        </w:tc>
        <w:tc>
          <w:tcPr>
            <w:tcW w:w="3172" w:type="dxa"/>
          </w:tcPr>
          <w:p w14:paraId="4A355B97"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52 weeks</w:t>
            </w:r>
          </w:p>
        </w:tc>
      </w:tr>
      <w:tr w:rsidR="00282EBC" w14:paraId="6B214AEE" w14:textId="77777777" w:rsidTr="00282EBC">
        <w:trPr>
          <w:trHeight w:val="250"/>
          <w:jc w:val="center"/>
        </w:trPr>
        <w:tc>
          <w:tcPr>
            <w:tcW w:w="3172" w:type="dxa"/>
          </w:tcPr>
          <w:p w14:paraId="482BE3FB"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Trend Analysis</w:t>
            </w:r>
          </w:p>
        </w:tc>
        <w:tc>
          <w:tcPr>
            <w:tcW w:w="3172" w:type="dxa"/>
          </w:tcPr>
          <w:p w14:paraId="56D60241"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6 weeks</w:t>
            </w:r>
          </w:p>
        </w:tc>
      </w:tr>
      <w:tr w:rsidR="00282EBC" w14:paraId="6926112B" w14:textId="77777777" w:rsidTr="00282EBC">
        <w:trPr>
          <w:trHeight w:val="250"/>
          <w:jc w:val="center"/>
        </w:trPr>
        <w:tc>
          <w:tcPr>
            <w:tcW w:w="3172" w:type="dxa"/>
          </w:tcPr>
          <w:p w14:paraId="77448C10"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Testing</w:t>
            </w:r>
          </w:p>
        </w:tc>
        <w:tc>
          <w:tcPr>
            <w:tcW w:w="3172" w:type="dxa"/>
          </w:tcPr>
          <w:p w14:paraId="1BBE288B"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12 weeks</w:t>
            </w:r>
          </w:p>
        </w:tc>
      </w:tr>
      <w:tr w:rsidR="00282EBC" w14:paraId="2B6616C9" w14:textId="77777777" w:rsidTr="00282EBC">
        <w:trPr>
          <w:trHeight w:val="250"/>
          <w:jc w:val="center"/>
        </w:trPr>
        <w:tc>
          <w:tcPr>
            <w:tcW w:w="3172" w:type="dxa"/>
          </w:tcPr>
          <w:p w14:paraId="746D930F"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Total</w:t>
            </w:r>
          </w:p>
        </w:tc>
        <w:tc>
          <w:tcPr>
            <w:tcW w:w="3172" w:type="dxa"/>
          </w:tcPr>
          <w:p w14:paraId="2AAF8AA1" w14:textId="77777777" w:rsidR="00282EBC" w:rsidRPr="001705AE" w:rsidRDefault="00282EBC" w:rsidP="00282EBC">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70 weeks</w:t>
            </w:r>
          </w:p>
        </w:tc>
      </w:tr>
    </w:tbl>
    <w:p w14:paraId="3D8EABF8" w14:textId="77777777" w:rsidR="00282EBC" w:rsidRPr="00282EBC" w:rsidRDefault="00282EBC" w:rsidP="00282EBC">
      <w:pPr>
        <w:spacing w:line="240" w:lineRule="auto"/>
        <w:ind w:left="720"/>
        <w:rPr>
          <w:color w:val="4BACC6" w:themeColor="accent5"/>
        </w:rPr>
      </w:pPr>
    </w:p>
    <w:p w14:paraId="672D81C4" w14:textId="51F8FAC2" w:rsidR="00282EBC" w:rsidRPr="00282EBC" w:rsidRDefault="00282EBC" w:rsidP="00282EBC">
      <w:pPr>
        <w:spacing w:line="240" w:lineRule="auto"/>
        <w:ind w:left="720"/>
        <w:rPr>
          <w:color w:val="4BACC6" w:themeColor="accent5"/>
        </w:rPr>
      </w:pPr>
      <w:r w:rsidRPr="00282EBC">
        <w:rPr>
          <w:color w:val="4BACC6" w:themeColor="accent5"/>
        </w:rPr>
        <w:t>This means start date for the data needed is 2015-03-20 through to 2016-07-21.</w:t>
      </w:r>
    </w:p>
    <w:p w14:paraId="0CEB078A" w14:textId="11B7CFAE" w:rsidR="00F628E6" w:rsidRDefault="00765A6E">
      <w:pPr>
        <w:numPr>
          <w:ilvl w:val="0"/>
          <w:numId w:val="3"/>
        </w:numPr>
        <w:spacing w:after="40" w:line="240" w:lineRule="auto"/>
        <w:ind w:hanging="360"/>
      </w:pPr>
      <w:r>
        <w:t>At what level (day, week, month, etc.) should the data be aggregated?</w:t>
      </w:r>
    </w:p>
    <w:p w14:paraId="53A6FC62" w14:textId="573B3F58" w:rsidR="001705AE" w:rsidRPr="001705AE" w:rsidRDefault="001705AE" w:rsidP="001705AE">
      <w:pPr>
        <w:spacing w:line="240" w:lineRule="auto"/>
        <w:ind w:left="720"/>
        <w:rPr>
          <w:color w:val="4BACC6" w:themeColor="accent5"/>
        </w:rPr>
      </w:pPr>
      <w:r w:rsidRPr="001705AE">
        <w:rPr>
          <w:color w:val="4BACC6" w:themeColor="accent5"/>
        </w:rPr>
        <w:t>The transaction data for Round Roasters Stores will need to be filtered for the above-mentioned periods. The remaining data will need to be aggregated by the following:</w:t>
      </w:r>
    </w:p>
    <w:tbl>
      <w:tblPr>
        <w:tblStyle w:val="TableGrid"/>
        <w:tblW w:w="0" w:type="auto"/>
        <w:jc w:val="center"/>
        <w:tblLook w:val="04A0" w:firstRow="1" w:lastRow="0" w:firstColumn="1" w:lastColumn="0" w:noHBand="0" w:noVBand="1"/>
      </w:tblPr>
      <w:tblGrid>
        <w:gridCol w:w="4644"/>
      </w:tblGrid>
      <w:tr w:rsidR="001705AE" w14:paraId="25CF3ADC" w14:textId="77777777" w:rsidTr="001705AE">
        <w:trPr>
          <w:jc w:val="center"/>
        </w:trPr>
        <w:tc>
          <w:tcPr>
            <w:tcW w:w="4644" w:type="dxa"/>
          </w:tcPr>
          <w:p w14:paraId="1E89C174" w14:textId="77777777" w:rsidR="001705AE" w:rsidRPr="001705AE" w:rsidRDefault="001705AE" w:rsidP="001705AE">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Weekly period</w:t>
            </w:r>
          </w:p>
        </w:tc>
      </w:tr>
      <w:tr w:rsidR="001705AE" w14:paraId="3A0570E7" w14:textId="77777777" w:rsidTr="001705AE">
        <w:trPr>
          <w:jc w:val="center"/>
        </w:trPr>
        <w:tc>
          <w:tcPr>
            <w:tcW w:w="4644" w:type="dxa"/>
          </w:tcPr>
          <w:p w14:paraId="1A11DAD9" w14:textId="77777777" w:rsidR="001705AE" w:rsidRPr="001705AE" w:rsidRDefault="001705AE" w:rsidP="001705AE">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Invoices as an indication of store traffic</w:t>
            </w:r>
          </w:p>
        </w:tc>
      </w:tr>
      <w:tr w:rsidR="001705AE" w14:paraId="27B6BE48" w14:textId="77777777" w:rsidTr="001705AE">
        <w:trPr>
          <w:jc w:val="center"/>
        </w:trPr>
        <w:tc>
          <w:tcPr>
            <w:tcW w:w="4644" w:type="dxa"/>
          </w:tcPr>
          <w:p w14:paraId="7DC91EFD" w14:textId="77777777" w:rsidR="001705AE" w:rsidRPr="001705AE" w:rsidRDefault="001705AE" w:rsidP="001705AE">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Store ID</w:t>
            </w:r>
          </w:p>
        </w:tc>
      </w:tr>
      <w:tr w:rsidR="001705AE" w14:paraId="4D32CA89" w14:textId="77777777" w:rsidTr="001705AE">
        <w:trPr>
          <w:jc w:val="center"/>
        </w:trPr>
        <w:tc>
          <w:tcPr>
            <w:tcW w:w="4644" w:type="dxa"/>
          </w:tcPr>
          <w:p w14:paraId="28AE9910" w14:textId="77777777" w:rsidR="001705AE" w:rsidRPr="001705AE" w:rsidRDefault="001705AE" w:rsidP="001705AE">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Gross Margin</w:t>
            </w:r>
          </w:p>
        </w:tc>
      </w:tr>
      <w:tr w:rsidR="001705AE" w14:paraId="3E33F7C1" w14:textId="77777777" w:rsidTr="001705AE">
        <w:trPr>
          <w:jc w:val="center"/>
        </w:trPr>
        <w:tc>
          <w:tcPr>
            <w:tcW w:w="4644" w:type="dxa"/>
          </w:tcPr>
          <w:p w14:paraId="3090CDCD" w14:textId="77777777" w:rsidR="001705AE" w:rsidRPr="001705AE" w:rsidRDefault="001705AE" w:rsidP="001705AE">
            <w:pPr>
              <w:widowControl w:val="0"/>
              <w:ind w:left="720"/>
              <w:rPr>
                <w:rFonts w:ascii="Arial" w:eastAsia="Arial" w:hAnsi="Arial" w:cs="Arial"/>
                <w:color w:val="4BACC6" w:themeColor="accent5"/>
                <w:sz w:val="22"/>
                <w:szCs w:val="22"/>
                <w:lang w:val="en-US" w:eastAsia="en-AU"/>
              </w:rPr>
            </w:pPr>
            <w:r w:rsidRPr="001705AE">
              <w:rPr>
                <w:rFonts w:ascii="Arial" w:eastAsia="Arial" w:hAnsi="Arial" w:cs="Arial"/>
                <w:color w:val="4BACC6" w:themeColor="accent5"/>
                <w:sz w:val="22"/>
                <w:szCs w:val="22"/>
                <w:lang w:val="en-US" w:eastAsia="en-AU"/>
              </w:rPr>
              <w:t>Sales</w:t>
            </w:r>
          </w:p>
        </w:tc>
      </w:tr>
    </w:tbl>
    <w:p w14:paraId="46B1176E" w14:textId="77777777" w:rsidR="001705AE" w:rsidRDefault="001705AE" w:rsidP="001705AE">
      <w:pPr>
        <w:spacing w:after="40" w:line="240" w:lineRule="auto"/>
        <w:ind w:left="720"/>
      </w:pPr>
    </w:p>
    <w:p w14:paraId="2F8CF5D3" w14:textId="77777777" w:rsidR="00F628E6" w:rsidRDefault="00765A6E">
      <w:pPr>
        <w:pStyle w:val="Heading2"/>
        <w:keepNext w:val="0"/>
        <w:keepLines w:val="0"/>
        <w:spacing w:before="240" w:after="40"/>
      </w:pPr>
      <w:r>
        <w:t xml:space="preserve">Step 2: Clean Up Your Data </w:t>
      </w:r>
    </w:p>
    <w:p w14:paraId="4DBF7E70" w14:textId="46AE8CD3" w:rsidR="00F628E6" w:rsidRDefault="00765A6E">
      <w:pPr>
        <w:spacing w:line="240" w:lineRule="auto"/>
        <w:rPr>
          <w:i/>
        </w:rPr>
      </w:pPr>
      <w:r>
        <w:rPr>
          <w:i/>
        </w:rPr>
        <w:t xml:space="preserve">In this step, you should prepare the data for steps 3 and 4. You should aggregate the transaction data to the appropriate level and filter on the appropriate data ranges. You can assume that there is no missing, incomplete, duplicate, or dirty data. </w:t>
      </w:r>
      <w:proofErr w:type="gramStart"/>
      <w:r>
        <w:rPr>
          <w:i/>
        </w:rPr>
        <w:t>You’re</w:t>
      </w:r>
      <w:proofErr w:type="gramEnd"/>
      <w:r>
        <w:rPr>
          <w:i/>
        </w:rPr>
        <w:t xml:space="preserve"> ready to move on to the next step when you have weekly transaction data for all stores.</w:t>
      </w:r>
    </w:p>
    <w:p w14:paraId="315D5F48" w14:textId="0F167A8F" w:rsidR="007017DE" w:rsidRPr="007017DE" w:rsidRDefault="007017DE">
      <w:pPr>
        <w:spacing w:line="240" w:lineRule="auto"/>
        <w:rPr>
          <w:color w:val="4BACC6" w:themeColor="accent5"/>
        </w:rPr>
      </w:pPr>
      <w:r w:rsidRPr="007017DE">
        <w:rPr>
          <w:color w:val="4BACC6" w:themeColor="accent5"/>
        </w:rPr>
        <w:t>Both gross margin and customer traffic (distinct invoices) were aggregated to a week level. To avoid skewing the analysis, only stores with 76 weeks of data were retained in the analysis to calculate trend and seasonality.</w:t>
      </w:r>
    </w:p>
    <w:p w14:paraId="46625FE9" w14:textId="77777777" w:rsidR="00F628E6" w:rsidRDefault="00765A6E">
      <w:pPr>
        <w:pStyle w:val="Heading2"/>
        <w:keepNext w:val="0"/>
        <w:keepLines w:val="0"/>
        <w:spacing w:before="240" w:after="40"/>
      </w:pPr>
      <w:r>
        <w:lastRenderedPageBreak/>
        <w:t>Step 3: Match Treatment and Control Units</w:t>
      </w:r>
    </w:p>
    <w:p w14:paraId="47064396" w14:textId="77777777" w:rsidR="00F628E6" w:rsidRDefault="00765A6E">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14:paraId="565BB871" w14:textId="77777777" w:rsidR="00F628E6" w:rsidRDefault="00F628E6">
      <w:pPr>
        <w:spacing w:line="240" w:lineRule="auto"/>
      </w:pPr>
    </w:p>
    <w:p w14:paraId="17BFB6EC" w14:textId="77777777" w:rsidR="00F628E6" w:rsidRDefault="00765A6E">
      <w:pPr>
        <w:spacing w:line="240" w:lineRule="auto"/>
      </w:pPr>
      <w:r>
        <w:rPr>
          <w:i/>
        </w:rPr>
        <w:t xml:space="preserve">Apart from trend and seasonality... </w:t>
      </w:r>
    </w:p>
    <w:p w14:paraId="30D9367B" w14:textId="4DFF6F85" w:rsidR="00F628E6" w:rsidRDefault="00765A6E">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14:paraId="5B66250B" w14:textId="0271B512" w:rsidR="006E75F1" w:rsidRPr="006E75F1" w:rsidRDefault="006E75F1" w:rsidP="006E75F1">
      <w:pPr>
        <w:pBdr>
          <w:top w:val="none" w:sz="0" w:space="0" w:color="auto"/>
          <w:left w:val="none" w:sz="0" w:space="0" w:color="auto"/>
          <w:bottom w:val="none" w:sz="0" w:space="0" w:color="auto"/>
          <w:right w:val="none" w:sz="0" w:space="0" w:color="auto"/>
          <w:between w:val="none" w:sz="0" w:space="0" w:color="auto"/>
        </w:pBdr>
        <w:spacing w:line="240" w:lineRule="auto"/>
        <w:ind w:left="720"/>
        <w:rPr>
          <w:color w:val="4BACC6" w:themeColor="accent5"/>
        </w:rPr>
      </w:pPr>
      <w:r w:rsidRPr="006E75F1">
        <w:rPr>
          <w:color w:val="4BACC6" w:themeColor="accent5"/>
        </w:rPr>
        <w:t>AvgMonthSales should be considered as constant variables while Square Feet should</w:t>
      </w:r>
      <w:r w:rsidR="00765A6E">
        <w:rPr>
          <w:color w:val="4BACC6" w:themeColor="accent5"/>
        </w:rPr>
        <w:t xml:space="preserve"> be </w:t>
      </w:r>
      <w:r w:rsidRPr="006E75F1">
        <w:rPr>
          <w:color w:val="4BACC6" w:themeColor="accent5"/>
        </w:rPr>
        <w:t>ignore</w:t>
      </w:r>
      <w:r w:rsidR="00765A6E">
        <w:rPr>
          <w:color w:val="4BACC6" w:themeColor="accent5"/>
        </w:rPr>
        <w:t>d</w:t>
      </w:r>
      <w:r w:rsidRPr="006E75F1">
        <w:rPr>
          <w:color w:val="4BACC6" w:themeColor="accent5"/>
        </w:rPr>
        <w:t>.</w:t>
      </w:r>
    </w:p>
    <w:p w14:paraId="180BCFBF" w14:textId="34BB70C7" w:rsidR="00F628E6" w:rsidRDefault="00765A6E">
      <w:pPr>
        <w:numPr>
          <w:ilvl w:val="0"/>
          <w:numId w:val="2"/>
        </w:numPr>
        <w:spacing w:line="240" w:lineRule="auto"/>
        <w:ind w:hanging="360"/>
      </w:pPr>
      <w:r>
        <w:t xml:space="preserve">What is the correlation between </w:t>
      </w:r>
      <w:r w:rsidR="00100C99">
        <w:t>each</w:t>
      </w:r>
      <w:r>
        <w:t xml:space="preserve"> potential control variable and your performance metric?</w:t>
      </w:r>
    </w:p>
    <w:p w14:paraId="04E31B7E" w14:textId="48B0EC26" w:rsidR="00765A6E" w:rsidRDefault="00765A6E" w:rsidP="00765A6E">
      <w:pPr>
        <w:spacing w:line="240" w:lineRule="auto"/>
        <w:ind w:left="720"/>
        <w:rPr>
          <w:color w:val="4BACC6" w:themeColor="accent5"/>
        </w:rPr>
      </w:pPr>
      <w:r w:rsidRPr="00765A6E">
        <w:rPr>
          <w:color w:val="4BACC6" w:themeColor="accent5"/>
        </w:rPr>
        <w:t>From the Pearson Correlation Analysis, AvgMonthSales has high correlation of 0.</w:t>
      </w:r>
      <w:r w:rsidR="007017DE">
        <w:rPr>
          <w:color w:val="4BACC6" w:themeColor="accent5"/>
        </w:rPr>
        <w:t>7</w:t>
      </w:r>
      <w:r w:rsidRPr="00765A6E">
        <w:rPr>
          <w:color w:val="4BACC6" w:themeColor="accent5"/>
        </w:rPr>
        <w:t>9 with the performance metric, i.e. Sum of Gross Margin. On the other hand, Square Feet has a poor correlation of -0.0</w:t>
      </w:r>
      <w:r w:rsidR="007017DE">
        <w:rPr>
          <w:color w:val="4BACC6" w:themeColor="accent5"/>
        </w:rPr>
        <w:t>46</w:t>
      </w:r>
      <w:r w:rsidRPr="00765A6E">
        <w:rPr>
          <w:color w:val="4BACC6" w:themeColor="accent5"/>
        </w:rPr>
        <w:t>.</w:t>
      </w:r>
    </w:p>
    <w:p w14:paraId="7CD09D66" w14:textId="147B8992" w:rsidR="007017DE" w:rsidRDefault="007017DE" w:rsidP="00765A6E">
      <w:pPr>
        <w:spacing w:line="240" w:lineRule="auto"/>
        <w:ind w:left="720"/>
        <w:rPr>
          <w:color w:val="4BACC6" w:themeColor="accent5"/>
        </w:rPr>
      </w:pPr>
      <w:r w:rsidRPr="007017DE">
        <w:drawing>
          <wp:inline distT="0" distB="0" distL="0" distR="0" wp14:anchorId="62596068" wp14:editId="4A7F9E0C">
            <wp:extent cx="5796501" cy="45703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25000"/>
                              </a14:imgEffect>
                            </a14:imgLayer>
                          </a14:imgProps>
                        </a:ext>
                      </a:extLst>
                    </a:blip>
                    <a:stretch>
                      <a:fillRect/>
                    </a:stretch>
                  </pic:blipFill>
                  <pic:spPr>
                    <a:xfrm>
                      <a:off x="0" y="0"/>
                      <a:ext cx="5840162" cy="460475"/>
                    </a:xfrm>
                    <a:prstGeom prst="rect">
                      <a:avLst/>
                    </a:prstGeom>
                  </pic:spPr>
                </pic:pic>
              </a:graphicData>
            </a:graphic>
          </wp:inline>
        </w:drawing>
      </w:r>
    </w:p>
    <w:p w14:paraId="086F672A" w14:textId="77777777" w:rsidR="00765A6E" w:rsidRPr="00765A6E" w:rsidRDefault="00765A6E" w:rsidP="00765A6E">
      <w:pPr>
        <w:spacing w:line="240" w:lineRule="auto"/>
        <w:ind w:left="720"/>
        <w:rPr>
          <w:color w:val="4BACC6" w:themeColor="accent5"/>
        </w:rPr>
      </w:pPr>
    </w:p>
    <w:p w14:paraId="182D9BAB" w14:textId="515AB978" w:rsidR="00F628E6" w:rsidRDefault="00765A6E">
      <w:pPr>
        <w:numPr>
          <w:ilvl w:val="0"/>
          <w:numId w:val="2"/>
        </w:numPr>
        <w:spacing w:line="240" w:lineRule="auto"/>
        <w:ind w:hanging="360"/>
      </w:pPr>
      <w:bookmarkStart w:id="1" w:name="_30j0zll" w:colFirst="0" w:colLast="0"/>
      <w:bookmarkEnd w:id="1"/>
      <w:r>
        <w:t>What control variables will you use to match treatment and control stores?</w:t>
      </w:r>
    </w:p>
    <w:p w14:paraId="208A1C45" w14:textId="5E03E305" w:rsidR="00765A6E" w:rsidRPr="00765A6E" w:rsidRDefault="00765A6E" w:rsidP="00765A6E">
      <w:pPr>
        <w:spacing w:line="240" w:lineRule="auto"/>
        <w:ind w:left="720"/>
        <w:rPr>
          <w:color w:val="4BACC6" w:themeColor="accent5"/>
        </w:rPr>
      </w:pPr>
      <w:r w:rsidRPr="00765A6E">
        <w:rPr>
          <w:color w:val="4BACC6" w:themeColor="accent5"/>
        </w:rPr>
        <w:t>AvgMonthSales will be used together with Trend and Seasonality when matching treatment and control stores.</w:t>
      </w:r>
    </w:p>
    <w:p w14:paraId="28B9BB53" w14:textId="77777777" w:rsidR="00F628E6" w:rsidRDefault="00765A6E">
      <w:pPr>
        <w:numPr>
          <w:ilvl w:val="0"/>
          <w:numId w:val="2"/>
        </w:numPr>
        <w:spacing w:line="240" w:lineRule="auto"/>
        <w:ind w:hanging="360"/>
      </w:pPr>
      <w:r>
        <w:t>Please fill out the table below with your treatment and control stores pairs:</w:t>
      </w:r>
    </w:p>
    <w:p w14:paraId="78542E93" w14:textId="77777777" w:rsidR="00F628E6" w:rsidRDefault="00F628E6">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F628E6" w14:paraId="03B681AB" w14:textId="77777777">
        <w:trPr>
          <w:trHeight w:val="260"/>
          <w:jc w:val="center"/>
        </w:trPr>
        <w:tc>
          <w:tcPr>
            <w:tcW w:w="1897" w:type="dxa"/>
          </w:tcPr>
          <w:p w14:paraId="508BABEC" w14:textId="77777777" w:rsidR="00F628E6" w:rsidRPr="007017DE" w:rsidRDefault="00765A6E" w:rsidP="007017DE">
            <w:pPr>
              <w:ind w:left="720"/>
              <w:contextualSpacing w:val="0"/>
              <w:rPr>
                <w:color w:val="4BACC6" w:themeColor="accent5"/>
              </w:rPr>
            </w:pPr>
            <w:r w:rsidRPr="007017DE">
              <w:rPr>
                <w:color w:val="4BACC6" w:themeColor="accent5"/>
              </w:rPr>
              <w:t>Treatment Store</w:t>
            </w:r>
          </w:p>
        </w:tc>
        <w:tc>
          <w:tcPr>
            <w:tcW w:w="1898" w:type="dxa"/>
          </w:tcPr>
          <w:p w14:paraId="194F5394" w14:textId="77777777" w:rsidR="00F628E6" w:rsidRPr="007017DE" w:rsidRDefault="00765A6E" w:rsidP="007017DE">
            <w:pPr>
              <w:ind w:left="720"/>
              <w:contextualSpacing w:val="0"/>
              <w:rPr>
                <w:color w:val="4BACC6" w:themeColor="accent5"/>
              </w:rPr>
            </w:pPr>
            <w:r w:rsidRPr="007017DE">
              <w:rPr>
                <w:color w:val="4BACC6" w:themeColor="accent5"/>
              </w:rPr>
              <w:t>Control Store 1</w:t>
            </w:r>
          </w:p>
        </w:tc>
        <w:tc>
          <w:tcPr>
            <w:tcW w:w="1898" w:type="dxa"/>
          </w:tcPr>
          <w:p w14:paraId="13461C40" w14:textId="77777777" w:rsidR="00F628E6" w:rsidRPr="007017DE" w:rsidRDefault="00765A6E" w:rsidP="007017DE">
            <w:pPr>
              <w:ind w:left="720"/>
              <w:contextualSpacing w:val="0"/>
              <w:rPr>
                <w:color w:val="4BACC6" w:themeColor="accent5"/>
              </w:rPr>
            </w:pPr>
            <w:r w:rsidRPr="007017DE">
              <w:rPr>
                <w:color w:val="4BACC6" w:themeColor="accent5"/>
              </w:rPr>
              <w:t>Control Store 2</w:t>
            </w:r>
          </w:p>
        </w:tc>
      </w:tr>
      <w:tr w:rsidR="00F628E6" w14:paraId="7E0AE66B" w14:textId="77777777">
        <w:trPr>
          <w:trHeight w:val="260"/>
          <w:jc w:val="center"/>
        </w:trPr>
        <w:tc>
          <w:tcPr>
            <w:tcW w:w="1897" w:type="dxa"/>
            <w:vAlign w:val="bottom"/>
          </w:tcPr>
          <w:p w14:paraId="0B993C5D" w14:textId="04212D15" w:rsidR="00F628E6" w:rsidRPr="007017DE" w:rsidRDefault="00765A6E" w:rsidP="007017DE">
            <w:pPr>
              <w:ind w:left="720"/>
              <w:contextualSpacing w:val="0"/>
              <w:rPr>
                <w:color w:val="4BACC6" w:themeColor="accent5"/>
              </w:rPr>
            </w:pPr>
            <w:r w:rsidRPr="007017DE">
              <w:rPr>
                <w:color w:val="4BACC6" w:themeColor="accent5"/>
              </w:rPr>
              <w:t>1664</w:t>
            </w:r>
          </w:p>
        </w:tc>
        <w:tc>
          <w:tcPr>
            <w:tcW w:w="1898" w:type="dxa"/>
            <w:vAlign w:val="bottom"/>
          </w:tcPr>
          <w:p w14:paraId="10AD7AF4" w14:textId="435BCF6B" w:rsidR="00F628E6" w:rsidRPr="007017DE" w:rsidRDefault="00765A6E" w:rsidP="007017DE">
            <w:pPr>
              <w:ind w:left="720"/>
              <w:contextualSpacing w:val="0"/>
              <w:rPr>
                <w:color w:val="4BACC6" w:themeColor="accent5"/>
              </w:rPr>
            </w:pPr>
            <w:r w:rsidRPr="007017DE">
              <w:rPr>
                <w:color w:val="4BACC6" w:themeColor="accent5"/>
              </w:rPr>
              <w:t>1964</w:t>
            </w:r>
          </w:p>
        </w:tc>
        <w:tc>
          <w:tcPr>
            <w:tcW w:w="1898" w:type="dxa"/>
            <w:vAlign w:val="bottom"/>
          </w:tcPr>
          <w:p w14:paraId="6A529AD6" w14:textId="74084060" w:rsidR="00F628E6" w:rsidRPr="007017DE" w:rsidRDefault="00765A6E" w:rsidP="007017DE">
            <w:pPr>
              <w:ind w:left="720"/>
              <w:contextualSpacing w:val="0"/>
              <w:rPr>
                <w:color w:val="4BACC6" w:themeColor="accent5"/>
              </w:rPr>
            </w:pPr>
            <w:r w:rsidRPr="007017DE">
              <w:rPr>
                <w:color w:val="4BACC6" w:themeColor="accent5"/>
              </w:rPr>
              <w:t>8562</w:t>
            </w:r>
          </w:p>
        </w:tc>
      </w:tr>
      <w:tr w:rsidR="00F628E6" w14:paraId="699D84E2" w14:textId="77777777">
        <w:trPr>
          <w:trHeight w:val="280"/>
          <w:jc w:val="center"/>
        </w:trPr>
        <w:tc>
          <w:tcPr>
            <w:tcW w:w="1897" w:type="dxa"/>
            <w:vAlign w:val="bottom"/>
          </w:tcPr>
          <w:p w14:paraId="03369F8B" w14:textId="5C93DFE5" w:rsidR="00F628E6" w:rsidRPr="007017DE" w:rsidRDefault="00765A6E" w:rsidP="007017DE">
            <w:pPr>
              <w:ind w:left="720"/>
              <w:contextualSpacing w:val="0"/>
              <w:rPr>
                <w:color w:val="4BACC6" w:themeColor="accent5"/>
              </w:rPr>
            </w:pPr>
            <w:r w:rsidRPr="007017DE">
              <w:rPr>
                <w:color w:val="4BACC6" w:themeColor="accent5"/>
              </w:rPr>
              <w:t>1675</w:t>
            </w:r>
          </w:p>
        </w:tc>
        <w:tc>
          <w:tcPr>
            <w:tcW w:w="1898" w:type="dxa"/>
            <w:vAlign w:val="bottom"/>
          </w:tcPr>
          <w:p w14:paraId="619356F5" w14:textId="6F76EC73" w:rsidR="00F628E6" w:rsidRPr="007017DE" w:rsidRDefault="00765A6E" w:rsidP="007017DE">
            <w:pPr>
              <w:ind w:left="720"/>
              <w:contextualSpacing w:val="0"/>
              <w:rPr>
                <w:color w:val="4BACC6" w:themeColor="accent5"/>
              </w:rPr>
            </w:pPr>
            <w:r w:rsidRPr="007017DE">
              <w:rPr>
                <w:color w:val="4BACC6" w:themeColor="accent5"/>
              </w:rPr>
              <w:t>1807</w:t>
            </w:r>
          </w:p>
        </w:tc>
        <w:tc>
          <w:tcPr>
            <w:tcW w:w="1898" w:type="dxa"/>
            <w:vAlign w:val="bottom"/>
          </w:tcPr>
          <w:p w14:paraId="6C7BEF70" w14:textId="09A7E32A" w:rsidR="00F628E6" w:rsidRPr="007017DE" w:rsidRDefault="00765A6E" w:rsidP="007017DE">
            <w:pPr>
              <w:ind w:left="720"/>
              <w:contextualSpacing w:val="0"/>
              <w:rPr>
                <w:color w:val="4BACC6" w:themeColor="accent5"/>
              </w:rPr>
            </w:pPr>
            <w:r w:rsidRPr="007017DE">
              <w:rPr>
                <w:color w:val="4BACC6" w:themeColor="accent5"/>
              </w:rPr>
              <w:t>7584</w:t>
            </w:r>
          </w:p>
        </w:tc>
      </w:tr>
      <w:tr w:rsidR="00F628E6" w14:paraId="1F57098F" w14:textId="77777777">
        <w:trPr>
          <w:trHeight w:val="260"/>
          <w:jc w:val="center"/>
        </w:trPr>
        <w:tc>
          <w:tcPr>
            <w:tcW w:w="1897" w:type="dxa"/>
            <w:vAlign w:val="bottom"/>
          </w:tcPr>
          <w:p w14:paraId="5AFFD334" w14:textId="389B9C27" w:rsidR="00F628E6" w:rsidRPr="007017DE" w:rsidRDefault="00765A6E" w:rsidP="007017DE">
            <w:pPr>
              <w:ind w:left="720"/>
              <w:contextualSpacing w:val="0"/>
              <w:rPr>
                <w:color w:val="4BACC6" w:themeColor="accent5"/>
              </w:rPr>
            </w:pPr>
            <w:r w:rsidRPr="007017DE">
              <w:rPr>
                <w:color w:val="4BACC6" w:themeColor="accent5"/>
              </w:rPr>
              <w:t>1696</w:t>
            </w:r>
          </w:p>
        </w:tc>
        <w:tc>
          <w:tcPr>
            <w:tcW w:w="1898" w:type="dxa"/>
            <w:vAlign w:val="bottom"/>
          </w:tcPr>
          <w:p w14:paraId="23564A75" w14:textId="212CDC5B" w:rsidR="00F628E6" w:rsidRPr="007017DE" w:rsidRDefault="00765A6E" w:rsidP="007017DE">
            <w:pPr>
              <w:ind w:left="720"/>
              <w:contextualSpacing w:val="0"/>
              <w:rPr>
                <w:color w:val="4BACC6" w:themeColor="accent5"/>
              </w:rPr>
            </w:pPr>
            <w:r w:rsidRPr="007017DE">
              <w:rPr>
                <w:color w:val="4BACC6" w:themeColor="accent5"/>
              </w:rPr>
              <w:t>1863</w:t>
            </w:r>
          </w:p>
        </w:tc>
        <w:tc>
          <w:tcPr>
            <w:tcW w:w="1898" w:type="dxa"/>
            <w:vAlign w:val="bottom"/>
          </w:tcPr>
          <w:p w14:paraId="407338CE" w14:textId="02A5D405" w:rsidR="00F628E6" w:rsidRPr="007017DE" w:rsidRDefault="00765A6E" w:rsidP="007017DE">
            <w:pPr>
              <w:ind w:left="720"/>
              <w:contextualSpacing w:val="0"/>
              <w:rPr>
                <w:color w:val="4BACC6" w:themeColor="accent5"/>
              </w:rPr>
            </w:pPr>
            <w:r w:rsidRPr="007017DE">
              <w:rPr>
                <w:color w:val="4BACC6" w:themeColor="accent5"/>
              </w:rPr>
              <w:t>7334</w:t>
            </w:r>
          </w:p>
        </w:tc>
      </w:tr>
      <w:tr w:rsidR="00F628E6" w14:paraId="6C8E9AE1" w14:textId="77777777">
        <w:trPr>
          <w:trHeight w:val="280"/>
          <w:jc w:val="center"/>
        </w:trPr>
        <w:tc>
          <w:tcPr>
            <w:tcW w:w="1897" w:type="dxa"/>
            <w:vAlign w:val="bottom"/>
          </w:tcPr>
          <w:p w14:paraId="69167ACE" w14:textId="64DFF5FD" w:rsidR="00F628E6" w:rsidRPr="007017DE" w:rsidRDefault="00765A6E" w:rsidP="007017DE">
            <w:pPr>
              <w:ind w:left="720"/>
              <w:contextualSpacing w:val="0"/>
              <w:rPr>
                <w:color w:val="4BACC6" w:themeColor="accent5"/>
              </w:rPr>
            </w:pPr>
            <w:r w:rsidRPr="007017DE">
              <w:rPr>
                <w:color w:val="4BACC6" w:themeColor="accent5"/>
              </w:rPr>
              <w:t>1700</w:t>
            </w:r>
          </w:p>
        </w:tc>
        <w:tc>
          <w:tcPr>
            <w:tcW w:w="1898" w:type="dxa"/>
            <w:vAlign w:val="bottom"/>
          </w:tcPr>
          <w:p w14:paraId="1E721218" w14:textId="1F7634C2" w:rsidR="00F628E6" w:rsidRPr="007017DE" w:rsidRDefault="00765A6E" w:rsidP="007017DE">
            <w:pPr>
              <w:ind w:left="720"/>
              <w:contextualSpacing w:val="0"/>
              <w:rPr>
                <w:color w:val="4BACC6" w:themeColor="accent5"/>
              </w:rPr>
            </w:pPr>
            <w:r w:rsidRPr="007017DE">
              <w:rPr>
                <w:color w:val="4BACC6" w:themeColor="accent5"/>
              </w:rPr>
              <w:t>7037</w:t>
            </w:r>
          </w:p>
        </w:tc>
        <w:tc>
          <w:tcPr>
            <w:tcW w:w="1898" w:type="dxa"/>
            <w:vAlign w:val="bottom"/>
          </w:tcPr>
          <w:p w14:paraId="192CF3B8" w14:textId="696222BD" w:rsidR="00F628E6" w:rsidRPr="007017DE" w:rsidRDefault="00765A6E" w:rsidP="007017DE">
            <w:pPr>
              <w:ind w:left="720"/>
              <w:contextualSpacing w:val="0"/>
              <w:rPr>
                <w:color w:val="4BACC6" w:themeColor="accent5"/>
              </w:rPr>
            </w:pPr>
            <w:r w:rsidRPr="007017DE">
              <w:rPr>
                <w:color w:val="4BACC6" w:themeColor="accent5"/>
              </w:rPr>
              <w:t>1508</w:t>
            </w:r>
          </w:p>
        </w:tc>
      </w:tr>
      <w:tr w:rsidR="00F628E6" w14:paraId="3CD05C53" w14:textId="77777777">
        <w:trPr>
          <w:trHeight w:val="260"/>
          <w:jc w:val="center"/>
        </w:trPr>
        <w:tc>
          <w:tcPr>
            <w:tcW w:w="1897" w:type="dxa"/>
            <w:vAlign w:val="bottom"/>
          </w:tcPr>
          <w:p w14:paraId="35D89D0E" w14:textId="24A7C51F" w:rsidR="00F628E6" w:rsidRPr="007017DE" w:rsidRDefault="00765A6E" w:rsidP="007017DE">
            <w:pPr>
              <w:ind w:left="720"/>
              <w:contextualSpacing w:val="0"/>
              <w:rPr>
                <w:color w:val="4BACC6" w:themeColor="accent5"/>
              </w:rPr>
            </w:pPr>
            <w:r w:rsidRPr="007017DE">
              <w:rPr>
                <w:color w:val="4BACC6" w:themeColor="accent5"/>
              </w:rPr>
              <w:t>1712</w:t>
            </w:r>
          </w:p>
        </w:tc>
        <w:tc>
          <w:tcPr>
            <w:tcW w:w="1898" w:type="dxa"/>
            <w:vAlign w:val="bottom"/>
          </w:tcPr>
          <w:p w14:paraId="520DEA8A" w14:textId="39532307" w:rsidR="00F628E6" w:rsidRPr="007017DE" w:rsidRDefault="00765A6E" w:rsidP="007017DE">
            <w:pPr>
              <w:ind w:left="720"/>
              <w:contextualSpacing w:val="0"/>
              <w:rPr>
                <w:color w:val="4BACC6" w:themeColor="accent5"/>
              </w:rPr>
            </w:pPr>
            <w:r w:rsidRPr="007017DE">
              <w:rPr>
                <w:color w:val="4BACC6" w:themeColor="accent5"/>
              </w:rPr>
              <w:t>8162</w:t>
            </w:r>
          </w:p>
        </w:tc>
        <w:tc>
          <w:tcPr>
            <w:tcW w:w="1898" w:type="dxa"/>
            <w:vAlign w:val="bottom"/>
          </w:tcPr>
          <w:p w14:paraId="7AEBA2C5" w14:textId="04245C24" w:rsidR="00F628E6" w:rsidRPr="007017DE" w:rsidRDefault="00765A6E" w:rsidP="007017DE">
            <w:pPr>
              <w:ind w:left="720"/>
              <w:contextualSpacing w:val="0"/>
              <w:rPr>
                <w:color w:val="4BACC6" w:themeColor="accent5"/>
              </w:rPr>
            </w:pPr>
            <w:r w:rsidRPr="007017DE">
              <w:rPr>
                <w:color w:val="4BACC6" w:themeColor="accent5"/>
              </w:rPr>
              <w:t>7434</w:t>
            </w:r>
          </w:p>
        </w:tc>
      </w:tr>
      <w:tr w:rsidR="00F628E6" w14:paraId="42805EC2" w14:textId="77777777">
        <w:trPr>
          <w:trHeight w:val="280"/>
          <w:jc w:val="center"/>
        </w:trPr>
        <w:tc>
          <w:tcPr>
            <w:tcW w:w="1897" w:type="dxa"/>
            <w:vAlign w:val="bottom"/>
          </w:tcPr>
          <w:p w14:paraId="2072A044" w14:textId="171C160F" w:rsidR="00F628E6" w:rsidRPr="007017DE" w:rsidRDefault="00765A6E" w:rsidP="007017DE">
            <w:pPr>
              <w:ind w:left="720"/>
              <w:contextualSpacing w:val="0"/>
              <w:rPr>
                <w:color w:val="4BACC6" w:themeColor="accent5"/>
              </w:rPr>
            </w:pPr>
            <w:r w:rsidRPr="007017DE">
              <w:rPr>
                <w:color w:val="4BACC6" w:themeColor="accent5"/>
              </w:rPr>
              <w:t>2288</w:t>
            </w:r>
          </w:p>
        </w:tc>
        <w:tc>
          <w:tcPr>
            <w:tcW w:w="1898" w:type="dxa"/>
            <w:vAlign w:val="bottom"/>
          </w:tcPr>
          <w:p w14:paraId="687B0873" w14:textId="6E8C6035" w:rsidR="00F628E6" w:rsidRPr="007017DE" w:rsidRDefault="00765A6E" w:rsidP="007017DE">
            <w:pPr>
              <w:ind w:left="720"/>
              <w:contextualSpacing w:val="0"/>
              <w:rPr>
                <w:color w:val="4BACC6" w:themeColor="accent5"/>
              </w:rPr>
            </w:pPr>
            <w:r w:rsidRPr="007017DE">
              <w:rPr>
                <w:color w:val="4BACC6" w:themeColor="accent5"/>
              </w:rPr>
              <w:t>2568</w:t>
            </w:r>
          </w:p>
        </w:tc>
        <w:tc>
          <w:tcPr>
            <w:tcW w:w="1898" w:type="dxa"/>
            <w:vAlign w:val="bottom"/>
          </w:tcPr>
          <w:p w14:paraId="53000303" w14:textId="422086C2" w:rsidR="00F628E6" w:rsidRPr="007017DE" w:rsidRDefault="00765A6E" w:rsidP="007017DE">
            <w:pPr>
              <w:ind w:left="720"/>
              <w:contextualSpacing w:val="0"/>
              <w:rPr>
                <w:color w:val="4BACC6" w:themeColor="accent5"/>
              </w:rPr>
            </w:pPr>
            <w:r w:rsidRPr="007017DE">
              <w:rPr>
                <w:color w:val="4BACC6" w:themeColor="accent5"/>
              </w:rPr>
              <w:t>9081</w:t>
            </w:r>
          </w:p>
        </w:tc>
      </w:tr>
      <w:tr w:rsidR="00F628E6" w14:paraId="0EC0998C" w14:textId="77777777">
        <w:trPr>
          <w:trHeight w:val="280"/>
          <w:jc w:val="center"/>
        </w:trPr>
        <w:tc>
          <w:tcPr>
            <w:tcW w:w="1897" w:type="dxa"/>
            <w:vAlign w:val="bottom"/>
          </w:tcPr>
          <w:p w14:paraId="51C01C0E" w14:textId="4B22AF75" w:rsidR="00F628E6" w:rsidRPr="007017DE" w:rsidRDefault="00765A6E" w:rsidP="007017DE">
            <w:pPr>
              <w:ind w:left="720"/>
              <w:contextualSpacing w:val="0"/>
              <w:rPr>
                <w:color w:val="4BACC6" w:themeColor="accent5"/>
              </w:rPr>
            </w:pPr>
            <w:r w:rsidRPr="007017DE">
              <w:rPr>
                <w:color w:val="4BACC6" w:themeColor="accent5"/>
              </w:rPr>
              <w:t>2293</w:t>
            </w:r>
          </w:p>
        </w:tc>
        <w:tc>
          <w:tcPr>
            <w:tcW w:w="1898" w:type="dxa"/>
            <w:vAlign w:val="bottom"/>
          </w:tcPr>
          <w:p w14:paraId="52012E49" w14:textId="29D19299" w:rsidR="00F628E6" w:rsidRPr="007017DE" w:rsidRDefault="00765A6E" w:rsidP="007017DE">
            <w:pPr>
              <w:ind w:left="720"/>
              <w:contextualSpacing w:val="0"/>
              <w:rPr>
                <w:color w:val="4BACC6" w:themeColor="accent5"/>
              </w:rPr>
            </w:pPr>
            <w:r w:rsidRPr="007017DE">
              <w:rPr>
                <w:color w:val="4BACC6" w:themeColor="accent5"/>
              </w:rPr>
              <w:t>12219</w:t>
            </w:r>
          </w:p>
        </w:tc>
        <w:tc>
          <w:tcPr>
            <w:tcW w:w="1898" w:type="dxa"/>
            <w:vAlign w:val="bottom"/>
          </w:tcPr>
          <w:p w14:paraId="12598143" w14:textId="3E6D9A22" w:rsidR="00F628E6" w:rsidRPr="007017DE" w:rsidRDefault="00765A6E" w:rsidP="007017DE">
            <w:pPr>
              <w:ind w:left="720"/>
              <w:contextualSpacing w:val="0"/>
              <w:rPr>
                <w:color w:val="4BACC6" w:themeColor="accent5"/>
              </w:rPr>
            </w:pPr>
            <w:r w:rsidRPr="007017DE">
              <w:rPr>
                <w:color w:val="4BACC6" w:themeColor="accent5"/>
              </w:rPr>
              <w:t>9639</w:t>
            </w:r>
          </w:p>
        </w:tc>
      </w:tr>
      <w:tr w:rsidR="00F628E6" w14:paraId="13CE7D0F" w14:textId="77777777">
        <w:trPr>
          <w:trHeight w:val="260"/>
          <w:jc w:val="center"/>
        </w:trPr>
        <w:tc>
          <w:tcPr>
            <w:tcW w:w="1897" w:type="dxa"/>
            <w:vAlign w:val="bottom"/>
          </w:tcPr>
          <w:p w14:paraId="0DCF37CD" w14:textId="4016C313" w:rsidR="00F628E6" w:rsidRPr="007017DE" w:rsidRDefault="00765A6E" w:rsidP="007017DE">
            <w:pPr>
              <w:ind w:left="720"/>
              <w:contextualSpacing w:val="0"/>
              <w:rPr>
                <w:color w:val="4BACC6" w:themeColor="accent5"/>
              </w:rPr>
            </w:pPr>
            <w:r w:rsidRPr="007017DE">
              <w:rPr>
                <w:color w:val="4BACC6" w:themeColor="accent5"/>
              </w:rPr>
              <w:t>2301</w:t>
            </w:r>
          </w:p>
        </w:tc>
        <w:tc>
          <w:tcPr>
            <w:tcW w:w="1898" w:type="dxa"/>
            <w:vAlign w:val="bottom"/>
          </w:tcPr>
          <w:p w14:paraId="619C5FD4" w14:textId="7EC64936" w:rsidR="00F628E6" w:rsidRPr="007017DE" w:rsidRDefault="00765A6E" w:rsidP="007017DE">
            <w:pPr>
              <w:ind w:left="720"/>
              <w:contextualSpacing w:val="0"/>
              <w:rPr>
                <w:color w:val="4BACC6" w:themeColor="accent5"/>
              </w:rPr>
            </w:pPr>
            <w:r w:rsidRPr="007017DE">
              <w:rPr>
                <w:color w:val="4BACC6" w:themeColor="accent5"/>
              </w:rPr>
              <w:t>11668</w:t>
            </w:r>
          </w:p>
        </w:tc>
        <w:tc>
          <w:tcPr>
            <w:tcW w:w="1898" w:type="dxa"/>
            <w:vAlign w:val="bottom"/>
          </w:tcPr>
          <w:p w14:paraId="4715363C" w14:textId="2746146B" w:rsidR="00F628E6" w:rsidRPr="007017DE" w:rsidRDefault="00765A6E" w:rsidP="007017DE">
            <w:pPr>
              <w:ind w:left="720"/>
              <w:contextualSpacing w:val="0"/>
              <w:rPr>
                <w:color w:val="4BACC6" w:themeColor="accent5"/>
              </w:rPr>
            </w:pPr>
            <w:r w:rsidRPr="007017DE">
              <w:rPr>
                <w:color w:val="4BACC6" w:themeColor="accent5"/>
              </w:rPr>
              <w:t>12019</w:t>
            </w:r>
          </w:p>
        </w:tc>
      </w:tr>
      <w:tr w:rsidR="00F628E6" w14:paraId="3B4A374E" w14:textId="77777777">
        <w:trPr>
          <w:trHeight w:val="280"/>
          <w:jc w:val="center"/>
        </w:trPr>
        <w:tc>
          <w:tcPr>
            <w:tcW w:w="1897" w:type="dxa"/>
            <w:vAlign w:val="bottom"/>
          </w:tcPr>
          <w:p w14:paraId="73A05315" w14:textId="6244A6DA" w:rsidR="00F628E6" w:rsidRPr="007017DE" w:rsidRDefault="00765A6E" w:rsidP="007017DE">
            <w:pPr>
              <w:ind w:left="720"/>
              <w:contextualSpacing w:val="0"/>
              <w:rPr>
                <w:color w:val="4BACC6" w:themeColor="accent5"/>
              </w:rPr>
            </w:pPr>
            <w:r w:rsidRPr="007017DE">
              <w:rPr>
                <w:color w:val="4BACC6" w:themeColor="accent5"/>
              </w:rPr>
              <w:t>2322</w:t>
            </w:r>
          </w:p>
        </w:tc>
        <w:tc>
          <w:tcPr>
            <w:tcW w:w="1898" w:type="dxa"/>
            <w:vAlign w:val="bottom"/>
          </w:tcPr>
          <w:p w14:paraId="68A03407" w14:textId="43A25A90" w:rsidR="00F628E6" w:rsidRPr="007017DE" w:rsidRDefault="00765A6E" w:rsidP="007017DE">
            <w:pPr>
              <w:ind w:left="720"/>
              <w:contextualSpacing w:val="0"/>
              <w:rPr>
                <w:color w:val="4BACC6" w:themeColor="accent5"/>
              </w:rPr>
            </w:pPr>
            <w:r w:rsidRPr="007017DE">
              <w:rPr>
                <w:color w:val="4BACC6" w:themeColor="accent5"/>
              </w:rPr>
              <w:t>9238</w:t>
            </w:r>
          </w:p>
        </w:tc>
        <w:tc>
          <w:tcPr>
            <w:tcW w:w="1898" w:type="dxa"/>
            <w:vAlign w:val="bottom"/>
          </w:tcPr>
          <w:p w14:paraId="64F8E3DB" w14:textId="5E0582F1" w:rsidR="00F628E6" w:rsidRPr="007017DE" w:rsidRDefault="00765A6E" w:rsidP="007017DE">
            <w:pPr>
              <w:ind w:left="720"/>
              <w:contextualSpacing w:val="0"/>
              <w:rPr>
                <w:color w:val="4BACC6" w:themeColor="accent5"/>
              </w:rPr>
            </w:pPr>
            <w:r w:rsidRPr="007017DE">
              <w:rPr>
                <w:color w:val="4BACC6" w:themeColor="accent5"/>
              </w:rPr>
              <w:t>9388</w:t>
            </w:r>
          </w:p>
        </w:tc>
      </w:tr>
      <w:tr w:rsidR="00F628E6" w14:paraId="24BC25FF" w14:textId="77777777">
        <w:trPr>
          <w:trHeight w:val="260"/>
          <w:jc w:val="center"/>
        </w:trPr>
        <w:tc>
          <w:tcPr>
            <w:tcW w:w="1897" w:type="dxa"/>
            <w:vAlign w:val="bottom"/>
          </w:tcPr>
          <w:p w14:paraId="293870A5" w14:textId="446FFBCF" w:rsidR="00F628E6" w:rsidRPr="007017DE" w:rsidRDefault="00765A6E" w:rsidP="007017DE">
            <w:pPr>
              <w:ind w:left="720"/>
              <w:contextualSpacing w:val="0"/>
              <w:rPr>
                <w:color w:val="4BACC6" w:themeColor="accent5"/>
              </w:rPr>
            </w:pPr>
            <w:r w:rsidRPr="007017DE">
              <w:rPr>
                <w:color w:val="4BACC6" w:themeColor="accent5"/>
              </w:rPr>
              <w:t>2241</w:t>
            </w:r>
          </w:p>
        </w:tc>
        <w:tc>
          <w:tcPr>
            <w:tcW w:w="1898" w:type="dxa"/>
            <w:vAlign w:val="bottom"/>
          </w:tcPr>
          <w:p w14:paraId="75464474" w14:textId="3834249A" w:rsidR="00F628E6" w:rsidRPr="007017DE" w:rsidRDefault="00765A6E" w:rsidP="007017DE">
            <w:pPr>
              <w:ind w:left="720"/>
              <w:contextualSpacing w:val="0"/>
              <w:rPr>
                <w:color w:val="4BACC6" w:themeColor="accent5"/>
              </w:rPr>
            </w:pPr>
            <w:r w:rsidRPr="007017DE">
              <w:rPr>
                <w:color w:val="4BACC6" w:themeColor="accent5"/>
              </w:rPr>
              <w:t>2572</w:t>
            </w:r>
          </w:p>
        </w:tc>
        <w:tc>
          <w:tcPr>
            <w:tcW w:w="1898" w:type="dxa"/>
            <w:vAlign w:val="bottom"/>
          </w:tcPr>
          <w:p w14:paraId="23BD002B" w14:textId="7C66EAE2" w:rsidR="00F628E6" w:rsidRPr="007017DE" w:rsidRDefault="00765A6E" w:rsidP="007017DE">
            <w:pPr>
              <w:ind w:left="720"/>
              <w:contextualSpacing w:val="0"/>
              <w:rPr>
                <w:color w:val="4BACC6" w:themeColor="accent5"/>
              </w:rPr>
            </w:pPr>
            <w:r w:rsidRPr="007017DE">
              <w:rPr>
                <w:color w:val="4BACC6" w:themeColor="accent5"/>
              </w:rPr>
              <w:t>3102</w:t>
            </w:r>
          </w:p>
        </w:tc>
      </w:tr>
    </w:tbl>
    <w:p w14:paraId="610A8033" w14:textId="77777777" w:rsidR="00F628E6" w:rsidRDefault="00F628E6">
      <w:pPr>
        <w:spacing w:line="240" w:lineRule="auto"/>
      </w:pPr>
    </w:p>
    <w:p w14:paraId="6AE51930" w14:textId="77777777" w:rsidR="00F628E6" w:rsidRDefault="00765A6E">
      <w:pPr>
        <w:pStyle w:val="Heading2"/>
      </w:pPr>
      <w:r>
        <w:t>Step 4: Analysis and Writeup</w:t>
      </w:r>
    </w:p>
    <w:p w14:paraId="72043F85" w14:textId="77777777" w:rsidR="00F628E6" w:rsidRDefault="00765A6E">
      <w:pPr>
        <w:spacing w:line="240" w:lineRule="auto"/>
      </w:pPr>
      <w:r>
        <w:rPr>
          <w:i/>
        </w:rPr>
        <w:t>Conduct your A/B analysis and create a short report outlining your results and recommendations. (250 words limit)</w:t>
      </w:r>
    </w:p>
    <w:p w14:paraId="2805BF8A" w14:textId="77777777" w:rsidR="00F628E6" w:rsidRDefault="00F628E6">
      <w:pPr>
        <w:spacing w:line="240" w:lineRule="auto"/>
      </w:pPr>
    </w:p>
    <w:p w14:paraId="7F91CC19" w14:textId="77777777" w:rsidR="00F628E6" w:rsidRDefault="00765A6E">
      <w:pPr>
        <w:spacing w:line="240" w:lineRule="auto"/>
      </w:pPr>
      <w:r>
        <w:rPr>
          <w:i/>
        </w:rPr>
        <w:t>Answer these questions. Be sure to include visualizations from your analysis:</w:t>
      </w:r>
    </w:p>
    <w:p w14:paraId="174FD96A" w14:textId="77777777" w:rsidR="00F628E6" w:rsidRDefault="00F628E6">
      <w:pPr>
        <w:spacing w:line="240" w:lineRule="auto"/>
      </w:pPr>
    </w:p>
    <w:p w14:paraId="6D547492" w14:textId="46604193" w:rsidR="00F628E6" w:rsidRDefault="00765A6E">
      <w:pPr>
        <w:numPr>
          <w:ilvl w:val="0"/>
          <w:numId w:val="1"/>
        </w:numPr>
        <w:spacing w:line="240" w:lineRule="auto"/>
        <w:ind w:hanging="360"/>
      </w:pPr>
      <w:r>
        <w:t xml:space="preserve">What is your recommendation - Should the company roll out the updated menu to all stores? </w:t>
      </w:r>
    </w:p>
    <w:p w14:paraId="75C08116" w14:textId="0A4FA57D" w:rsidR="007017DE" w:rsidRPr="00E53E52" w:rsidRDefault="007017DE" w:rsidP="007017DE">
      <w:pPr>
        <w:spacing w:line="240" w:lineRule="auto"/>
        <w:ind w:left="720"/>
        <w:rPr>
          <w:color w:val="4BACC6" w:themeColor="accent5"/>
        </w:rPr>
      </w:pPr>
      <w:r w:rsidRPr="00E53E52">
        <w:rPr>
          <w:color w:val="4BACC6" w:themeColor="accent5"/>
        </w:rPr>
        <w:t xml:space="preserve">This analysis assessed the commercial viability of launching a new menu. The analysis </w:t>
      </w:r>
      <w:r w:rsidRPr="00E53E52">
        <w:rPr>
          <w:color w:val="4BACC6" w:themeColor="accent5"/>
        </w:rPr>
        <w:lastRenderedPageBreak/>
        <w:t xml:space="preserve">overall demonstrated a significant lift of 39.6% in weekly gross sales across the ten stores (p&lt;0.001) (fig </w:t>
      </w:r>
      <w:r w:rsidRPr="00E53E52">
        <w:rPr>
          <w:color w:val="4BACC6" w:themeColor="accent5"/>
        </w:rPr>
        <w:t>1</w:t>
      </w:r>
      <w:r w:rsidRPr="00E53E52">
        <w:rPr>
          <w:color w:val="4BACC6" w:themeColor="accent5"/>
        </w:rPr>
        <w:t>). This exceeds the required threshold set by management to risk the additional investment required to launch the new menu across all stores. As such, the new menu should be introduced nationwide.</w:t>
      </w:r>
    </w:p>
    <w:p w14:paraId="2C8C5147" w14:textId="1E814713" w:rsidR="007017DE" w:rsidRDefault="007017DE" w:rsidP="007017DE">
      <w:pPr>
        <w:spacing w:line="240" w:lineRule="auto"/>
        <w:ind w:left="720"/>
      </w:pPr>
      <w:r w:rsidRPr="007017DE">
        <w:drawing>
          <wp:inline distT="0" distB="0" distL="0" distR="0" wp14:anchorId="73930522" wp14:editId="1572EB3B">
            <wp:extent cx="4510292" cy="175882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4540504" cy="1770602"/>
                    </a:xfrm>
                    <a:prstGeom prst="rect">
                      <a:avLst/>
                    </a:prstGeom>
                  </pic:spPr>
                </pic:pic>
              </a:graphicData>
            </a:graphic>
          </wp:inline>
        </w:drawing>
      </w:r>
    </w:p>
    <w:p w14:paraId="609074C0" w14:textId="4549BAA2" w:rsidR="007017DE" w:rsidRDefault="007017DE" w:rsidP="007017DE">
      <w:pPr>
        <w:spacing w:line="240" w:lineRule="auto"/>
        <w:ind w:left="720"/>
      </w:pPr>
      <w:r>
        <w:t xml:space="preserve">Fig. </w:t>
      </w:r>
      <w:r w:rsidR="000164AC">
        <w:t>2:</w:t>
      </w:r>
      <w:r>
        <w:t xml:space="preserve"> Summary of findings for both regions.</w:t>
      </w:r>
    </w:p>
    <w:p w14:paraId="3889B983" w14:textId="77777777" w:rsidR="000164AC" w:rsidRDefault="000164AC" w:rsidP="007017DE">
      <w:pPr>
        <w:spacing w:line="240" w:lineRule="auto"/>
        <w:ind w:left="720"/>
      </w:pPr>
    </w:p>
    <w:p w14:paraId="5C0906AA" w14:textId="169E9635" w:rsidR="00F628E6" w:rsidRDefault="00765A6E">
      <w:pPr>
        <w:numPr>
          <w:ilvl w:val="0"/>
          <w:numId w:val="1"/>
        </w:numPr>
        <w:spacing w:line="240" w:lineRule="auto"/>
        <w:ind w:hanging="360"/>
      </w:pPr>
      <w:r>
        <w:t xml:space="preserve">What is the lift from the new menu for West and Central regions (include statistical significance)? </w:t>
      </w:r>
    </w:p>
    <w:p w14:paraId="5CF52AE5" w14:textId="38D965E6" w:rsidR="000164AC" w:rsidRPr="00611B12" w:rsidRDefault="000164AC" w:rsidP="00611B12">
      <w:pPr>
        <w:spacing w:line="240" w:lineRule="auto"/>
        <w:ind w:left="720"/>
        <w:rPr>
          <w:color w:val="4BACC6" w:themeColor="accent5"/>
        </w:rPr>
      </w:pPr>
      <w:r w:rsidRPr="00611B12">
        <w:rPr>
          <w:color w:val="4BACC6" w:themeColor="accent5"/>
        </w:rPr>
        <w:t xml:space="preserve">When examining the results by region, similar results were identified. In the West region the new menu resulted in a significant lift of 38.1% in weekly gross margin [$509.1] (p=0.007). When compared to the same weeks in the preceding year, the control group remained largely unchanged while the treatment group demonstrated a substantial increase in gross margin (fig </w:t>
      </w:r>
      <w:r w:rsidRPr="00611B12">
        <w:rPr>
          <w:color w:val="4BACC6" w:themeColor="accent5"/>
        </w:rPr>
        <w:t>2</w:t>
      </w:r>
      <w:r w:rsidRPr="00611B12">
        <w:rPr>
          <w:color w:val="4BACC6" w:themeColor="accent5"/>
        </w:rPr>
        <w:t>).</w:t>
      </w:r>
    </w:p>
    <w:p w14:paraId="0726FA9B" w14:textId="69C0F4D5" w:rsidR="00611B12" w:rsidRDefault="00611B12" w:rsidP="00611B12">
      <w:pPr>
        <w:spacing w:line="240" w:lineRule="auto"/>
        <w:ind w:left="720"/>
      </w:pPr>
      <w:r w:rsidRPr="00611B12">
        <w:drawing>
          <wp:inline distT="0" distB="0" distL="0" distR="0" wp14:anchorId="6B22D054" wp14:editId="4C8602D6">
            <wp:extent cx="4482243" cy="17665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4508696" cy="1776985"/>
                    </a:xfrm>
                    <a:prstGeom prst="rect">
                      <a:avLst/>
                    </a:prstGeom>
                  </pic:spPr>
                </pic:pic>
              </a:graphicData>
            </a:graphic>
          </wp:inline>
        </w:drawing>
      </w:r>
    </w:p>
    <w:p w14:paraId="2A7D7A14" w14:textId="5935A1E3" w:rsidR="00611B12" w:rsidRDefault="00611B12" w:rsidP="00611B12">
      <w:pPr>
        <w:spacing w:line="240" w:lineRule="auto"/>
        <w:ind w:left="720"/>
      </w:pPr>
      <w:r>
        <w:t>Fig. 2: Summary of findings West Region</w:t>
      </w:r>
    </w:p>
    <w:p w14:paraId="799074C7" w14:textId="5AEE8AC8" w:rsidR="00611B12" w:rsidRPr="00611B12" w:rsidRDefault="00611B12" w:rsidP="00611B12">
      <w:pPr>
        <w:spacing w:line="240" w:lineRule="auto"/>
        <w:ind w:left="720"/>
        <w:rPr>
          <w:color w:val="4BACC6" w:themeColor="accent5"/>
        </w:rPr>
      </w:pPr>
      <w:r w:rsidRPr="00611B12">
        <w:rPr>
          <w:color w:val="4BACC6" w:themeColor="accent5"/>
        </w:rPr>
        <w:t xml:space="preserve">In the central region, the new menu also resulted in a significant lift of 41.1% in weekly gross margin (p=0.008). </w:t>
      </w:r>
      <w:r w:rsidRPr="00611B12">
        <w:rPr>
          <w:color w:val="4BACC6" w:themeColor="accent5"/>
        </w:rPr>
        <w:t>Like</w:t>
      </w:r>
      <w:r w:rsidRPr="00611B12">
        <w:rPr>
          <w:color w:val="4BACC6" w:themeColor="accent5"/>
        </w:rPr>
        <w:t xml:space="preserve"> the West region, the treatment stores in the Central region</w:t>
      </w:r>
      <w:r w:rsidRPr="00611B12">
        <w:rPr>
          <w:color w:val="4BACC6" w:themeColor="accent5"/>
        </w:rPr>
        <w:t xml:space="preserve"> </w:t>
      </w:r>
      <w:r w:rsidRPr="00611B12">
        <w:rPr>
          <w:color w:val="4BACC6" w:themeColor="accent5"/>
        </w:rPr>
        <w:t xml:space="preserve">demonstrated a substantial increase in gross margin for each week in comparison to the same period in the preceding year. In contrast, the control stores generally remained unchanged (fig </w:t>
      </w:r>
      <w:r w:rsidRPr="00611B12">
        <w:rPr>
          <w:color w:val="4BACC6" w:themeColor="accent5"/>
        </w:rPr>
        <w:t>3</w:t>
      </w:r>
      <w:r w:rsidRPr="00611B12">
        <w:rPr>
          <w:color w:val="4BACC6" w:themeColor="accent5"/>
        </w:rPr>
        <w:t>). This would equate to an expected increase of $774.8 per store per week.</w:t>
      </w:r>
    </w:p>
    <w:p w14:paraId="0C4F05BB" w14:textId="4FFC8653" w:rsidR="00611B12" w:rsidRDefault="00611B12" w:rsidP="00611B12">
      <w:pPr>
        <w:spacing w:line="240" w:lineRule="auto"/>
        <w:ind w:left="720"/>
      </w:pPr>
      <w:r w:rsidRPr="00611B12">
        <w:lastRenderedPageBreak/>
        <w:drawing>
          <wp:inline distT="0" distB="0" distL="0" distR="0" wp14:anchorId="09F92C4F" wp14:editId="6B2AD542">
            <wp:extent cx="4190532" cy="164487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tretch>
                      <a:fillRect/>
                    </a:stretch>
                  </pic:blipFill>
                  <pic:spPr>
                    <a:xfrm>
                      <a:off x="0" y="0"/>
                      <a:ext cx="4211224" cy="1652995"/>
                    </a:xfrm>
                    <a:prstGeom prst="rect">
                      <a:avLst/>
                    </a:prstGeom>
                  </pic:spPr>
                </pic:pic>
              </a:graphicData>
            </a:graphic>
          </wp:inline>
        </w:drawing>
      </w:r>
    </w:p>
    <w:p w14:paraId="25BA0B7A" w14:textId="26950D67" w:rsidR="00611B12" w:rsidRDefault="00611B12" w:rsidP="00611B12">
      <w:pPr>
        <w:spacing w:line="240" w:lineRule="auto"/>
        <w:ind w:left="720"/>
      </w:pPr>
      <w:r>
        <w:t>Fig 3: Summary of findings for west region.</w:t>
      </w:r>
    </w:p>
    <w:p w14:paraId="5662C7BA" w14:textId="77777777" w:rsidR="00611B12" w:rsidRDefault="00611B12" w:rsidP="00611B12">
      <w:pPr>
        <w:spacing w:line="240" w:lineRule="auto"/>
      </w:pPr>
    </w:p>
    <w:p w14:paraId="61518AE3" w14:textId="1CDB82FD" w:rsidR="00F628E6" w:rsidRDefault="00765A6E">
      <w:pPr>
        <w:numPr>
          <w:ilvl w:val="0"/>
          <w:numId w:val="1"/>
        </w:numPr>
        <w:spacing w:line="240" w:lineRule="auto"/>
        <w:ind w:hanging="360"/>
      </w:pPr>
      <w:r>
        <w:t>What is the lift from the new menu overall?</w:t>
      </w:r>
    </w:p>
    <w:p w14:paraId="2C3CD909" w14:textId="129DCC16" w:rsidR="00611B12" w:rsidRPr="00611B12" w:rsidRDefault="00611B12" w:rsidP="00611B12">
      <w:pPr>
        <w:spacing w:line="240" w:lineRule="auto"/>
        <w:ind w:left="720"/>
        <w:rPr>
          <w:color w:val="4BACC6" w:themeColor="accent5"/>
        </w:rPr>
      </w:pPr>
      <w:r w:rsidRPr="00611B12">
        <w:rPr>
          <w:color w:val="4BACC6" w:themeColor="accent5"/>
        </w:rPr>
        <w:t>In conclusion, I would recommend Round Roasters implement the new menu to all stores</w:t>
      </w:r>
      <w:r w:rsidRPr="00611B12">
        <w:rPr>
          <w:color w:val="4BACC6" w:themeColor="accent5"/>
        </w:rPr>
        <w:t xml:space="preserve"> </w:t>
      </w:r>
      <w:r w:rsidRPr="00611B12">
        <w:rPr>
          <w:color w:val="4BACC6" w:themeColor="accent5"/>
        </w:rPr>
        <w:t xml:space="preserve">due to a lift of </w:t>
      </w:r>
      <w:r w:rsidRPr="00611B12">
        <w:rPr>
          <w:color w:val="4BACC6" w:themeColor="accent5"/>
        </w:rPr>
        <w:t>39.6</w:t>
      </w:r>
      <w:r w:rsidRPr="00611B12">
        <w:rPr>
          <w:color w:val="4BACC6" w:themeColor="accent5"/>
        </w:rPr>
        <w:t>%</w:t>
      </w:r>
      <w:r w:rsidRPr="00611B12">
        <w:rPr>
          <w:color w:val="4BACC6" w:themeColor="accent5"/>
        </w:rPr>
        <w:t>.</w:t>
      </w:r>
      <w:r>
        <w:rPr>
          <w:color w:val="4BACC6" w:themeColor="accent5"/>
        </w:rPr>
        <w:t xml:space="preserve"> </w:t>
      </w:r>
      <w:r w:rsidRPr="00611B12">
        <w:rPr>
          <w:color w:val="4BACC6" w:themeColor="accent5"/>
        </w:rPr>
        <w:t>Given these positive findings, the introduction of this menu across all stores can be recommended.</w:t>
      </w:r>
    </w:p>
    <w:p w14:paraId="6ED82F02" w14:textId="74B6FA9E" w:rsidR="000814F6" w:rsidRDefault="000814F6">
      <w:pPr>
        <w:pStyle w:val="Heading2"/>
      </w:pPr>
      <w:bookmarkStart w:id="2" w:name="_1fob9te" w:colFirst="0" w:colLast="0"/>
      <w:bookmarkEnd w:id="2"/>
      <w:r>
        <w:t>Alteryx Workflow</w:t>
      </w:r>
      <w:r w:rsidR="00FC6062">
        <w:t>s</w:t>
      </w:r>
    </w:p>
    <w:p w14:paraId="18F6FF14" w14:textId="0371B5F7" w:rsidR="000814F6" w:rsidRDefault="000814F6">
      <w:pPr>
        <w:pStyle w:val="Heading2"/>
        <w:rPr>
          <w:noProof/>
        </w:rPr>
      </w:pPr>
      <w:r w:rsidRPr="000814F6">
        <w:drawing>
          <wp:inline distT="0" distB="0" distL="0" distR="0" wp14:anchorId="35A9C544" wp14:editId="5528D2AA">
            <wp:extent cx="2715151" cy="11327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6058" cy="1162346"/>
                    </a:xfrm>
                    <a:prstGeom prst="rect">
                      <a:avLst/>
                    </a:prstGeom>
                  </pic:spPr>
                </pic:pic>
              </a:graphicData>
            </a:graphic>
          </wp:inline>
        </w:drawing>
      </w:r>
      <w:r w:rsidRPr="000814F6">
        <w:rPr>
          <w:noProof/>
        </w:rPr>
        <w:t xml:space="preserve"> </w:t>
      </w:r>
      <w:r w:rsidRPr="000814F6">
        <w:drawing>
          <wp:inline distT="0" distB="0" distL="0" distR="0" wp14:anchorId="6A07280C" wp14:editId="7503B6F8">
            <wp:extent cx="3887602" cy="81199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3795" cy="848794"/>
                    </a:xfrm>
                    <a:prstGeom prst="rect">
                      <a:avLst/>
                    </a:prstGeom>
                  </pic:spPr>
                </pic:pic>
              </a:graphicData>
            </a:graphic>
          </wp:inline>
        </w:drawing>
      </w:r>
    </w:p>
    <w:p w14:paraId="3C5E755C" w14:textId="114CC2D3" w:rsidR="000814F6" w:rsidRDefault="000814F6" w:rsidP="000814F6">
      <w:r w:rsidRPr="000814F6">
        <w:drawing>
          <wp:inline distT="0" distB="0" distL="0" distR="0" wp14:anchorId="6D3717CC" wp14:editId="7039C0B3">
            <wp:extent cx="3994189" cy="1485445"/>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818" cy="1498696"/>
                    </a:xfrm>
                    <a:prstGeom prst="rect">
                      <a:avLst/>
                    </a:prstGeom>
                  </pic:spPr>
                </pic:pic>
              </a:graphicData>
            </a:graphic>
          </wp:inline>
        </w:drawing>
      </w:r>
    </w:p>
    <w:p w14:paraId="48DAE0CF" w14:textId="1F9BD46F" w:rsidR="000814F6" w:rsidRPr="000814F6" w:rsidRDefault="000814F6" w:rsidP="000814F6">
      <w:r w:rsidRPr="000814F6">
        <w:lastRenderedPageBreak/>
        <w:drawing>
          <wp:inline distT="0" distB="0" distL="0" distR="0" wp14:anchorId="38317646" wp14:editId="1516D2AC">
            <wp:extent cx="2008314" cy="153535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4320" cy="1555236"/>
                    </a:xfrm>
                    <a:prstGeom prst="rect">
                      <a:avLst/>
                    </a:prstGeom>
                  </pic:spPr>
                </pic:pic>
              </a:graphicData>
            </a:graphic>
          </wp:inline>
        </w:drawing>
      </w:r>
    </w:p>
    <w:p w14:paraId="001624BC" w14:textId="76904D6B" w:rsidR="00F628E6" w:rsidRDefault="00765A6E">
      <w:pPr>
        <w:pStyle w:val="Heading2"/>
      </w:pPr>
      <w:r>
        <w:t>Before you Submit</w:t>
      </w:r>
    </w:p>
    <w:p w14:paraId="6C8BFD5C" w14:textId="77777777" w:rsidR="00F628E6" w:rsidRDefault="00765A6E">
      <w:r>
        <w:t xml:space="preserve">Please check your answers against the requirements of the project dictated by the </w:t>
      </w:r>
      <w:hyperlink r:id="rId18" w:anchor="!/rubrics/287/view">
        <w:r>
          <w:rPr>
            <w:color w:val="0000FF"/>
            <w:u w:val="single"/>
          </w:rPr>
          <w:t>rubric</w:t>
        </w:r>
      </w:hyperlink>
      <w:r>
        <w:t xml:space="preserve"> here. Reviewers will use this rubric to grade your project.</w:t>
      </w:r>
    </w:p>
    <w:p w14:paraId="5183B40C" w14:textId="77777777" w:rsidR="00F628E6" w:rsidRDefault="00F628E6"/>
    <w:sectPr w:rsidR="00F628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133E2"/>
    <w:multiLevelType w:val="multilevel"/>
    <w:tmpl w:val="25D6C87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46364621"/>
    <w:multiLevelType w:val="multilevel"/>
    <w:tmpl w:val="35F208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528A4084"/>
    <w:multiLevelType w:val="multilevel"/>
    <w:tmpl w:val="77EACA2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628E6"/>
    <w:rsid w:val="000164AC"/>
    <w:rsid w:val="000814F6"/>
    <w:rsid w:val="00100C99"/>
    <w:rsid w:val="001705AE"/>
    <w:rsid w:val="0019658A"/>
    <w:rsid w:val="00282EBC"/>
    <w:rsid w:val="00611B12"/>
    <w:rsid w:val="006E75F1"/>
    <w:rsid w:val="007017DE"/>
    <w:rsid w:val="00765A6E"/>
    <w:rsid w:val="00E53E52"/>
    <w:rsid w:val="00F628E6"/>
    <w:rsid w:val="00FC60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B0A1"/>
  <w15:docId w15:val="{AD001ABA-96E7-49E6-8C2E-C2CA796D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AU"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table" w:styleId="TableGrid">
    <w:name w:val="Table Grid"/>
    <w:basedOn w:val="TableNormal"/>
    <w:uiPriority w:val="39"/>
    <w:rsid w:val="00282EBC"/>
    <w:pPr>
      <w:widowControl/>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sz w:val="24"/>
      <w:szCs w:val="24"/>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670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hyperlink" Target="https://review.udacity.com/"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Subhadip Sengupta</cp:lastModifiedBy>
  <cp:revision>11</cp:revision>
  <dcterms:created xsi:type="dcterms:W3CDTF">2020-04-20T07:47:00Z</dcterms:created>
  <dcterms:modified xsi:type="dcterms:W3CDTF">2020-04-27T13:56:00Z</dcterms:modified>
</cp:coreProperties>
</file>