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rtl w:val="0"/>
        </w:rPr>
        <w:t xml:space="preserve">Formulae used </w:t>
      </w:r>
      <w:r w:rsidDel="00000000" w:rsidR="00000000" w:rsidRPr="00000000">
        <w:rPr>
          <w:rtl w:val="0"/>
        </w:rPr>
        <w:t xml:space="preserve">: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 to earning ratio (P/E):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ff0000"/>
          <w:sz w:val="22"/>
          <w:szCs w:val="22"/>
          <w:u w:val="single"/>
          <w:shd w:fill="f4cccc" w:val="clear"/>
          <w:vertAlign w:val="baseline"/>
        </w:rPr>
      </w:pPr>
      <w:r w:rsidDel="00000000" w:rsidR="00000000" w:rsidRPr="00000000">
        <w:rPr>
          <w:color w:val="ff0000"/>
          <w:u w:val="single"/>
          <w:shd w:fill="f4cccc" w:val="clear"/>
          <w:rtl w:val="0"/>
        </w:rPr>
        <w:t xml:space="preserve">TOTAL </w:t>
      </w:r>
      <w:r w:rsidDel="00000000" w:rsidR="00000000" w:rsidRPr="00000000">
        <w:rPr>
          <w:rFonts w:ascii="Calibri" w:cs="Calibri" w:eastAsia="Calibri" w:hAnsi="Calibri"/>
          <w:b w:val="0"/>
          <w:bCs w:val="0"/>
          <w:i w:val="0"/>
          <w:iCs w:val="0"/>
          <w:smallCaps w:val="0"/>
          <w:strike w:val="0"/>
          <w:color w:val="ff0000"/>
          <w:sz w:val="22"/>
          <w:szCs w:val="22"/>
          <w:u w:val="single"/>
          <w:shd w:fill="f4cccc" w:val="clear"/>
          <w:vertAlign w:val="baseline"/>
          <w:rtl w:val="0"/>
        </w:rPr>
        <w:t xml:space="preserve">CALCULATE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u w:val="single"/>
        </w:rPr>
      </w:pPr>
      <w:r w:rsidDel="00000000" w:rsidR="00000000" w:rsidRPr="00000000">
        <w:rPr>
          <w:rtl w:val="0"/>
        </w:rPr>
      </w:r>
    </w:p>
    <w:p w:rsidR="00000000" w:rsidDel="00000000" w:rsidP="00000000" w:rsidRDefault="00000000" w:rsidRPr="00000000" w14:paraId="00000007">
      <w:pPr>
        <w:numPr>
          <w:ilvl w:val="0"/>
          <w:numId w:val="1"/>
        </w:numPr>
        <w:ind w:left="720" w:hanging="360"/>
        <w:rPr>
          <w:highlight w:val="green"/>
        </w:rPr>
      </w:pPr>
      <w:r w:rsidDel="00000000" w:rsidR="00000000" w:rsidRPr="00000000">
        <w:rPr>
          <w:highlight w:val="green"/>
          <w:rtl w:val="0"/>
        </w:rPr>
        <w:t xml:space="preserve"> payout ratio(PR): GREEN </w:t>
      </w:r>
      <w:r w:rsidDel="00000000" w:rsidR="00000000" w:rsidRPr="00000000">
        <w:rPr>
          <w:sz w:val="36"/>
          <w:szCs w:val="36"/>
          <w:highlight w:val="magenta"/>
          <w:rtl w:val="0"/>
        </w:rPr>
        <w:t xml:space="preserve">EXCEL FILE COMPLETE</w:t>
      </w:r>
    </w:p>
    <w:p w:rsidR="00000000" w:rsidDel="00000000" w:rsidP="00000000" w:rsidRDefault="00000000" w:rsidRPr="00000000" w14:paraId="00000008">
      <w:pPr>
        <w:ind w:left="720" w:firstLine="0"/>
        <w:rPr>
          <w:highlight w:val="green"/>
        </w:rPr>
      </w:pPr>
      <w:r w:rsidDel="00000000" w:rsidR="00000000" w:rsidRPr="00000000">
        <w:rPr>
          <w:rtl w:val="0"/>
        </w:rPr>
      </w:r>
    </w:p>
    <w:p w:rsidR="00000000" w:rsidDel="00000000" w:rsidP="00000000" w:rsidRDefault="00000000" w:rsidRPr="00000000" w14:paraId="00000009">
      <w:pPr>
        <w:ind w:left="720" w:firstLine="0"/>
        <w:rPr>
          <w:highlight w:val="green"/>
        </w:rPr>
      </w:pPr>
      <w:r w:rsidDel="00000000" w:rsidR="00000000" w:rsidRPr="00000000">
        <w:rPr>
          <w:highlight w:val="green"/>
          <w:rtl w:val="0"/>
        </w:rPr>
        <w:t xml:space="preserve">investiGATE MULtiple zeros in tata motors</w:t>
      </w:r>
    </w:p>
    <w:p w:rsidR="00000000" w:rsidDel="00000000" w:rsidP="00000000" w:rsidRDefault="00000000" w:rsidRPr="00000000" w14:paraId="0000000A">
      <w:pPr>
        <w:spacing w:after="240" w:lineRule="auto"/>
        <w:rPr>
          <w:highlight w:val="green"/>
        </w:rPr>
      </w:pPr>
      <w:r w:rsidDel="00000000" w:rsidR="00000000" w:rsidRPr="00000000">
        <w:rPr>
          <w:b w:val="1"/>
          <w:bCs w:val="1"/>
          <w:highlight w:val="green"/>
          <w:rtl w:val="0"/>
        </w:rPr>
        <w:t xml:space="preserve">SBI did not declare any dividend for FY 2019–20</w:t>
      </w:r>
      <w:r w:rsidDel="00000000" w:rsidR="00000000" w:rsidRPr="00000000">
        <w:rPr>
          <w:highlight w:val="green"/>
          <w:rtl w:val="0"/>
        </w:rPr>
        <w:t xml:space="preserve">, even though it earned a profit.</w:t>
      </w:r>
    </w:p>
    <w:p w:rsidR="00000000" w:rsidDel="00000000" w:rsidP="00000000" w:rsidRDefault="00000000" w:rsidRPr="00000000" w14:paraId="0000000B">
      <w:pPr>
        <w:pStyle w:val="Heading3"/>
        <w:keepNext w:val="0"/>
        <w:keepLines w:val="0"/>
        <w:spacing w:before="280" w:lineRule="auto"/>
        <w:rPr>
          <w:b w:val="1"/>
          <w:bCs w:val="1"/>
          <w:color w:val="000000"/>
          <w:sz w:val="26"/>
          <w:szCs w:val="26"/>
          <w:highlight w:val="green"/>
        </w:rPr>
      </w:pPr>
      <w:bookmarkStart w:colFirst="0" w:colLast="0" w:name="_heading=h.uqd7sb8whyub" w:id="0"/>
      <w:bookmarkEnd w:id="0"/>
      <w:r w:rsidDel="00000000" w:rsidR="00000000" w:rsidRPr="00000000">
        <w:rPr>
          <w:b w:val="1"/>
          <w:bCs w:val="1"/>
          <w:color w:val="000000"/>
          <w:sz w:val="26"/>
          <w:szCs w:val="26"/>
          <w:highlight w:val="green"/>
          <w:rtl w:val="0"/>
        </w:rPr>
        <w:t xml:space="preserve">Reason explained clearly (from the Annual Report):</w:t>
      </w:r>
    </w:p>
    <w:p w:rsidR="00000000" w:rsidDel="00000000" w:rsidP="00000000" w:rsidRDefault="00000000" w:rsidRPr="00000000" w14:paraId="0000000C">
      <w:pPr>
        <w:numPr>
          <w:ilvl w:val="0"/>
          <w:numId w:val="2"/>
        </w:numPr>
        <w:spacing w:after="0" w:afterAutospacing="0" w:before="240" w:lineRule="auto"/>
        <w:ind w:left="720" w:hanging="360"/>
        <w:rPr>
          <w:highlight w:val="green"/>
        </w:rPr>
      </w:pPr>
      <w:r w:rsidDel="00000000" w:rsidR="00000000" w:rsidRPr="00000000">
        <w:rPr>
          <w:highlight w:val="green"/>
          <w:rtl w:val="0"/>
        </w:rPr>
        <w:t xml:space="preserve">In FY 2019–20, SBI reported a </w:t>
      </w:r>
      <w:r w:rsidDel="00000000" w:rsidR="00000000" w:rsidRPr="00000000">
        <w:rPr>
          <w:b w:val="1"/>
          <w:bCs w:val="1"/>
          <w:highlight w:val="green"/>
          <w:rtl w:val="0"/>
        </w:rPr>
        <w:t xml:space="preserve">net profit</w:t>
      </w:r>
      <w:r w:rsidDel="00000000" w:rsidR="00000000" w:rsidRPr="00000000">
        <w:rPr>
          <w:highlight w:val="green"/>
          <w:rtl w:val="0"/>
        </w:rPr>
        <w:t xml:space="preserve">, but </w:t>
      </w:r>
      <w:r w:rsidDel="00000000" w:rsidR="00000000" w:rsidRPr="00000000">
        <w:rPr>
          <w:b w:val="1"/>
          <w:bCs w:val="1"/>
          <w:highlight w:val="green"/>
          <w:rtl w:val="0"/>
        </w:rPr>
        <w:t xml:space="preserve">the Board decided not to distribute dividends</w:t>
      </w:r>
      <w:r w:rsidDel="00000000" w:rsidR="00000000" w:rsidRPr="00000000">
        <w:rPr>
          <w:highlight w:val="green"/>
          <w:rtl w:val="0"/>
        </w:rPr>
        <w:t xml:space="preserve">.</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highlight w:val="green"/>
        </w:rPr>
      </w:pPr>
      <w:r w:rsidDel="00000000" w:rsidR="00000000" w:rsidRPr="00000000">
        <w:rPr>
          <w:highlight w:val="green"/>
          <w:rtl w:val="0"/>
        </w:rPr>
        <w:t xml:space="preserve">This decision was mainly due to:</w:t>
        <w:br w:type="textWrapping"/>
      </w:r>
    </w:p>
    <w:p w:rsidR="00000000" w:rsidDel="00000000" w:rsidP="00000000" w:rsidRDefault="00000000" w:rsidRPr="00000000" w14:paraId="0000000E">
      <w:pPr>
        <w:numPr>
          <w:ilvl w:val="1"/>
          <w:numId w:val="2"/>
        </w:numPr>
        <w:spacing w:after="0" w:afterAutospacing="0" w:before="0" w:beforeAutospacing="0" w:lineRule="auto"/>
        <w:ind w:left="1440" w:hanging="360"/>
        <w:rPr>
          <w:highlight w:val="green"/>
        </w:rPr>
      </w:pPr>
      <w:r w:rsidDel="00000000" w:rsidR="00000000" w:rsidRPr="00000000">
        <w:rPr>
          <w:b w:val="1"/>
          <w:bCs w:val="1"/>
          <w:highlight w:val="green"/>
          <w:rtl w:val="0"/>
        </w:rPr>
        <w:t xml:space="preserve">COVID-19 uncertainty</w:t>
      </w:r>
      <w:r w:rsidDel="00000000" w:rsidR="00000000" w:rsidRPr="00000000">
        <w:rPr>
          <w:highlight w:val="green"/>
          <w:rtl w:val="0"/>
        </w:rPr>
        <w:t xml:space="preserve"> at the end of FY 2020</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rPr>
          <w:highlight w:val="green"/>
        </w:rPr>
      </w:pPr>
      <w:r w:rsidDel="00000000" w:rsidR="00000000" w:rsidRPr="00000000">
        <w:rPr>
          <w:highlight w:val="green"/>
          <w:rtl w:val="0"/>
        </w:rPr>
        <w:t xml:space="preserve">The need to </w:t>
      </w:r>
      <w:r w:rsidDel="00000000" w:rsidR="00000000" w:rsidRPr="00000000">
        <w:rPr>
          <w:b w:val="1"/>
          <w:bCs w:val="1"/>
          <w:highlight w:val="green"/>
          <w:rtl w:val="0"/>
        </w:rPr>
        <w:t xml:space="preserve">conserve capital and strengthen reserves</w:t>
        <w:br w:type="textWrapping"/>
      </w:r>
    </w:p>
    <w:p w:rsidR="00000000" w:rsidDel="00000000" w:rsidP="00000000" w:rsidRDefault="00000000" w:rsidRPr="00000000" w14:paraId="00000010">
      <w:pPr>
        <w:numPr>
          <w:ilvl w:val="1"/>
          <w:numId w:val="2"/>
        </w:numPr>
        <w:spacing w:after="240" w:before="0" w:beforeAutospacing="0" w:lineRule="auto"/>
        <w:ind w:left="1440" w:hanging="360"/>
        <w:rPr>
          <w:highlight w:val="green"/>
        </w:rPr>
      </w:pPr>
      <w:r w:rsidDel="00000000" w:rsidR="00000000" w:rsidRPr="00000000">
        <w:rPr>
          <w:b w:val="1"/>
          <w:bCs w:val="1"/>
          <w:highlight w:val="green"/>
          <w:rtl w:val="0"/>
        </w:rPr>
        <w:t xml:space="preserve">Regulatory guidance from RBI</w:t>
      </w:r>
      <w:r w:rsidDel="00000000" w:rsidR="00000000" w:rsidRPr="00000000">
        <w:rPr>
          <w:highlight w:val="green"/>
          <w:rtl w:val="0"/>
        </w:rPr>
        <w:t xml:space="preserve">, which advised banks to be cautious with dividend payouts during the pandemic</w:t>
      </w:r>
    </w:p>
    <w:p w:rsidR="00000000" w:rsidDel="00000000" w:rsidP="00000000" w:rsidRDefault="00000000" w:rsidRPr="00000000" w14:paraId="00000011">
      <w:pPr>
        <w:rPr>
          <w:highlight w:val="green"/>
        </w:rPr>
      </w:pPr>
      <w:r w:rsidDel="00000000" w:rsidR="00000000" w:rsidRPr="00000000">
        <w:rPr>
          <w:rtl w:val="0"/>
        </w:rPr>
      </w:r>
    </w:p>
    <w:p w:rsidR="00000000" w:rsidDel="00000000" w:rsidP="00000000" w:rsidRDefault="00000000" w:rsidRPr="00000000" w14:paraId="00000012">
      <w:pPr>
        <w:rPr>
          <w:sz w:val="34"/>
          <w:szCs w:val="34"/>
          <w:highlight w:val="green"/>
        </w:rPr>
      </w:pPr>
      <w:r w:rsidDel="00000000" w:rsidR="00000000" w:rsidRPr="00000000">
        <w:rPr>
          <w:rtl w:val="0"/>
        </w:rPr>
      </w:r>
    </w:p>
    <w:p w:rsidR="00000000" w:rsidDel="00000000" w:rsidP="00000000" w:rsidRDefault="00000000" w:rsidRPr="00000000" w14:paraId="00000013">
      <w:pPr>
        <w:rPr>
          <w:sz w:val="34"/>
          <w:szCs w:val="34"/>
          <w:shd w:fill="6d9eeb" w:val="clear"/>
        </w:rPr>
      </w:pPr>
      <w:r w:rsidDel="00000000" w:rsidR="00000000" w:rsidRPr="00000000">
        <w:rPr>
          <w:sz w:val="34"/>
          <w:szCs w:val="34"/>
          <w:shd w:fill="6d9eeb" w:val="clear"/>
          <w:rtl w:val="0"/>
        </w:rPr>
        <w:t xml:space="preserve">ZEROs mean no profit, or like in sbi, dividends not paid due to covid</w:t>
      </w:r>
    </w:p>
    <w:p w:rsidR="00000000" w:rsidDel="00000000" w:rsidP="00000000" w:rsidRDefault="00000000" w:rsidRPr="00000000" w14:paraId="00000014">
      <w:pPr>
        <w:numPr>
          <w:ilvl w:val="0"/>
          <w:numId w:val="1"/>
        </w:numPr>
        <w:ind w:left="720" w:hanging="360"/>
        <w:rPr>
          <w:highlight w:val="green"/>
        </w:rPr>
      </w:pPr>
      <w:r w:rsidDel="00000000" w:rsidR="00000000" w:rsidRPr="00000000">
        <w:rPr>
          <w:highlight w:val="green"/>
          <w:rtl w:val="0"/>
        </w:rPr>
        <w:t xml:space="preserve">Diluted EPS : GREEN</w:t>
      </w:r>
      <w:r w:rsidDel="00000000" w:rsidR="00000000" w:rsidRPr="00000000">
        <w:rPr>
          <w:highlight w:val="magenta"/>
          <w:rtl w:val="0"/>
        </w:rPr>
        <w:t xml:space="preserve"> </w:t>
      </w:r>
      <w:r w:rsidDel="00000000" w:rsidR="00000000" w:rsidRPr="00000000">
        <w:rPr>
          <w:sz w:val="36"/>
          <w:szCs w:val="36"/>
          <w:highlight w:val="magenta"/>
          <w:rtl w:val="0"/>
        </w:rPr>
        <w:t xml:space="preserve">EXCEL FILE COMPLETE</w:t>
      </w:r>
    </w:p>
    <w:p w:rsidR="00000000" w:rsidDel="00000000" w:rsidP="00000000" w:rsidRDefault="00000000" w:rsidRPr="00000000" w14:paraId="00000015">
      <w:pPr>
        <w:numPr>
          <w:ilvl w:val="0"/>
          <w:numId w:val="1"/>
        </w:numPr>
        <w:ind w:left="720" w:hanging="360"/>
        <w:rPr>
          <w:highlight w:val="green"/>
        </w:rPr>
      </w:pPr>
      <w:r w:rsidDel="00000000" w:rsidR="00000000" w:rsidRPr="00000000">
        <w:rPr>
          <w:highlight w:val="green"/>
          <w:rtl w:val="0"/>
        </w:rPr>
        <w:t xml:space="preserve">price to book value (P/B): ORANGE </w:t>
      </w:r>
      <w:r w:rsidDel="00000000" w:rsidR="00000000" w:rsidRPr="00000000">
        <w:rPr>
          <w:sz w:val="36"/>
          <w:szCs w:val="36"/>
          <w:highlight w:val="magenta"/>
          <w:rtl w:val="0"/>
        </w:rPr>
        <w:t xml:space="preserve">EXCEL FILE COMPLETE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4591050" cy="1190625"/>
            <wp:effectExtent b="0" l="0" r="0" t="0"/>
            <wp:docPr id="171995253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591050" cy="1190625"/>
                    </a:xfrm>
                    <a:prstGeom prst="rect"/>
                    <a:ln/>
                  </pic:spPr>
                </pic:pic>
              </a:graphicData>
            </a:graphic>
          </wp:inline>
        </w:drawing>
      </w:r>
      <w:r w:rsidDel="00000000" w:rsidR="00000000" w:rsidRPr="00000000">
        <w:rPr>
          <w:rtl w:val="0"/>
        </w:rPr>
        <w:t xml:space="preserve">market price is fiscal end market price per share, otherwise not matching with moneycontrol</w:t>
      </w:r>
    </w:p>
    <w:p w:rsidR="00000000" w:rsidDel="00000000" w:rsidP="00000000" w:rsidRDefault="00000000" w:rsidRPr="00000000" w14:paraId="00000018">
      <w:pPr>
        <w:rPr/>
      </w:pPr>
      <w:r w:rsidDel="00000000" w:rsidR="00000000" w:rsidRPr="00000000">
        <w:rPr/>
        <w:drawing>
          <wp:inline distB="114300" distT="114300" distL="114300" distR="114300">
            <wp:extent cx="4543425" cy="1228725"/>
            <wp:effectExtent b="0" l="0" r="0" t="0"/>
            <wp:docPr id="171995254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5434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highlight w:val="green"/>
        </w:rPr>
      </w:pPr>
      <w:r w:rsidDel="00000000" w:rsidR="00000000" w:rsidRPr="00000000">
        <w:rPr>
          <w:rtl w:val="0"/>
        </w:rPr>
      </w:r>
    </w:p>
    <w:p w:rsidR="00000000" w:rsidDel="00000000" w:rsidP="00000000" w:rsidRDefault="00000000" w:rsidRPr="00000000" w14:paraId="0000001E">
      <w:pPr>
        <w:numPr>
          <w:ilvl w:val="0"/>
          <w:numId w:val="1"/>
        </w:numPr>
        <w:ind w:left="720" w:hanging="360"/>
        <w:rPr>
          <w:highlight w:val="green"/>
        </w:rPr>
      </w:pPr>
      <w:r w:rsidDel="00000000" w:rsidR="00000000" w:rsidRPr="00000000">
        <w:rPr>
          <w:highlight w:val="green"/>
          <w:rtl w:val="0"/>
        </w:rPr>
        <w:t xml:space="preserve">price to sales ratio (P/S): ORANGE </w:t>
      </w:r>
      <w:r w:rsidDel="00000000" w:rsidR="00000000" w:rsidRPr="00000000">
        <w:rPr>
          <w:sz w:val="36"/>
          <w:szCs w:val="36"/>
          <w:highlight w:val="magenta"/>
          <w:rtl w:val="0"/>
        </w:rPr>
        <w:t xml:space="preserve">EXCEL FILE COMPLETE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2146300"/>
            <wp:effectExtent b="0" l="0" r="0" t="0"/>
            <wp:docPr id="171995254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hd w:fill="f4cccc" w:val="clea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highlight w:val="green"/>
        </w:rPr>
      </w:pPr>
      <w:r w:rsidDel="00000000" w:rsidR="00000000" w:rsidRPr="00000000">
        <w:rPr>
          <w:highlight w:val="green"/>
          <w:rtl w:val="0"/>
        </w:rPr>
        <w:t xml:space="preserve">long term debt to equity ratio (LTDER): GREEN : </w:t>
      </w:r>
      <w:r w:rsidDel="00000000" w:rsidR="00000000" w:rsidRPr="00000000">
        <w:rPr>
          <w:highlight w:val="green"/>
          <w:u w:val="single"/>
          <w:rtl w:val="0"/>
        </w:rPr>
        <w:t xml:space="preserve">CALCULATED</w:t>
      </w:r>
    </w:p>
    <w:p w:rsidR="00000000" w:rsidDel="00000000" w:rsidP="00000000" w:rsidRDefault="00000000" w:rsidRPr="00000000" w14:paraId="00000026">
      <w:pPr>
        <w:ind w:left="720" w:firstLine="0"/>
        <w:rPr>
          <w:highlight w:val="green"/>
          <w:u w:val="single"/>
        </w:rPr>
      </w:pPr>
      <w:r w:rsidDel="00000000" w:rsidR="00000000" w:rsidRPr="00000000">
        <w:rPr>
          <w:b w:val="1"/>
          <w:bCs w:val="1"/>
          <w:highlight w:val="green"/>
          <w:u w:val="single"/>
          <w:rtl w:val="0"/>
        </w:rPr>
        <w:t xml:space="preserve">LTDER:</w:t>
      </w:r>
      <w:r w:rsidDel="00000000" w:rsidR="00000000" w:rsidRPr="00000000">
        <w:rPr>
          <w:highlight w:val="green"/>
          <w:u w:val="single"/>
          <w:rtl w:val="0"/>
        </w:rPr>
        <w:t xml:space="preserve"> Will be calculated using Shareholders’ EquityTotal Liabilities​. However, note that banks naturally have extremely high leverage (liabilities) because customer deposits are classified as liabilities. Therefore, the LTDER will be very high and should be compared only against other banks, not industrial companies.</w:t>
      </w:r>
    </w:p>
    <w:p w:rsidR="00000000" w:rsidDel="00000000" w:rsidP="00000000" w:rsidRDefault="00000000" w:rsidRPr="00000000" w14:paraId="00000027">
      <w:pPr>
        <w:numPr>
          <w:ilvl w:val="0"/>
          <w:numId w:val="1"/>
        </w:numPr>
        <w:ind w:left="720" w:hanging="360"/>
        <w:rPr>
          <w:shd w:fill="ff9900" w:val="clear"/>
        </w:rPr>
      </w:pPr>
      <w:r w:rsidDel="00000000" w:rsidR="00000000" w:rsidRPr="00000000">
        <w:rPr>
          <w:shd w:fill="ff9900" w:val="clear"/>
          <w:rtl w:val="0"/>
        </w:rPr>
        <w:t xml:space="preserve">price to cash flow ratio (P/CF</w:t>
      </w:r>
      <w:r w:rsidDel="00000000" w:rsidR="00000000" w:rsidRPr="00000000">
        <w:rPr>
          <w:color w:val="0d0d0d"/>
          <w:shd w:fill="ff9900" w:val="clear"/>
          <w:rtl w:val="0"/>
        </w:rPr>
        <w:t xml:space="preserve">):</w:t>
      </w:r>
      <w:r w:rsidDel="00000000" w:rsidR="00000000" w:rsidRPr="00000000">
        <w:rPr>
          <w:color w:val="ff0000"/>
          <w:shd w:fill="ff9900" w:val="clear"/>
          <w:rtl w:val="0"/>
        </w:rPr>
        <w:t xml:space="preserve"> RED</w:t>
      </w:r>
      <w:r w:rsidDel="00000000" w:rsidR="00000000" w:rsidRPr="00000000">
        <w:rPr>
          <w:shd w:fill="ff9900" w:val="clear"/>
          <w:rtl w:val="0"/>
        </w:rPr>
        <w:t xml:space="preserve"> : </w:t>
      </w:r>
      <w:r w:rsidDel="00000000" w:rsidR="00000000" w:rsidRPr="00000000">
        <w:rPr>
          <w:u w:val="single"/>
          <w:shd w:fill="ff9900" w:val="clear"/>
          <w:rtl w:val="0"/>
        </w:rPr>
        <w:t xml:space="preserve">CALCULATED</w:t>
      </w:r>
    </w:p>
    <w:p w:rsidR="00000000" w:rsidDel="00000000" w:rsidP="00000000" w:rsidRDefault="00000000" w:rsidRPr="00000000" w14:paraId="00000028">
      <w:pPr>
        <w:rPr>
          <w:u w:val="single"/>
          <w:shd w:fill="ff9900" w:val="clear"/>
        </w:rPr>
      </w:pPr>
      <w:r w:rsidDel="00000000" w:rsidR="00000000" w:rsidRPr="00000000">
        <w:rPr>
          <w:rtl w:val="0"/>
        </w:rPr>
      </w:r>
    </w:p>
    <w:p w:rsidR="00000000" w:rsidDel="00000000" w:rsidP="00000000" w:rsidRDefault="00000000" w:rsidRPr="00000000" w14:paraId="00000029">
      <w:pPr>
        <w:rPr>
          <w:u w:val="single"/>
          <w:shd w:fill="ff9900" w:val="clear"/>
        </w:rPr>
      </w:pPr>
      <w:r w:rsidDel="00000000" w:rsidR="00000000" w:rsidRPr="00000000">
        <w:rPr>
          <w:rtl w:val="0"/>
        </w:rPr>
      </w:r>
    </w:p>
    <w:p w:rsidR="00000000" w:rsidDel="00000000" w:rsidP="00000000" w:rsidRDefault="00000000" w:rsidRPr="00000000" w14:paraId="0000002A">
      <w:pPr>
        <w:ind w:left="720" w:firstLine="0"/>
        <w:rPr>
          <w:u w:val="single"/>
          <w:shd w:fill="ff9900" w:val="clear"/>
        </w:rPr>
      </w:pPr>
      <w:r w:rsidDel="00000000" w:rsidR="00000000" w:rsidRPr="00000000">
        <w:rPr>
          <w:color w:val="ff0000"/>
          <w:u w:val="single"/>
          <w:shd w:fill="f4cccc" w:val="clear"/>
          <w:rtl w:val="0"/>
        </w:rPr>
        <w:t xml:space="preserve">TOTAL CALCULATE</w:t>
      </w: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u w:val="single"/>
        </w:rPr>
        <w:drawing>
          <wp:inline distB="114300" distT="114300" distL="114300" distR="114300">
            <wp:extent cx="5731200" cy="2120900"/>
            <wp:effectExtent b="0" l="0" r="0" t="0"/>
            <wp:docPr id="171995254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u w:val="single"/>
        </w:rPr>
      </w:pPr>
      <w:r w:rsidDel="00000000" w:rsidR="00000000" w:rsidRPr="00000000">
        <w:rPr>
          <w:rtl w:val="0"/>
        </w:rPr>
      </w:r>
    </w:p>
    <w:p w:rsidR="00000000" w:rsidDel="00000000" w:rsidP="00000000" w:rsidRDefault="00000000" w:rsidRPr="00000000" w14:paraId="0000002D">
      <w:pPr>
        <w:rPr>
          <w:u w:val="single"/>
        </w:rPr>
      </w:pPr>
      <w:r w:rsidDel="00000000" w:rsidR="00000000" w:rsidRPr="00000000">
        <w:rPr>
          <w:rtl w:val="0"/>
        </w:rPr>
      </w:r>
    </w:p>
    <w:p w:rsidR="00000000" w:rsidDel="00000000" w:rsidP="00000000" w:rsidRDefault="00000000" w:rsidRPr="00000000" w14:paraId="0000002E">
      <w:pPr>
        <w:rPr>
          <w:u w:val="single"/>
        </w:rPr>
      </w:pP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rtl w:val="0"/>
        </w:rPr>
      </w:r>
    </w:p>
    <w:p w:rsidR="00000000" w:rsidDel="00000000" w:rsidP="00000000" w:rsidRDefault="00000000" w:rsidRPr="00000000" w14:paraId="00000030">
      <w:pPr>
        <w:rPr>
          <w:u w:val="single"/>
        </w:rPr>
      </w:pPr>
      <w:r w:rsidDel="00000000" w:rsidR="00000000" w:rsidRPr="00000000">
        <w:rPr>
          <w:rtl w:val="0"/>
        </w:rPr>
      </w:r>
    </w:p>
    <w:p w:rsidR="00000000" w:rsidDel="00000000" w:rsidP="00000000" w:rsidRDefault="00000000" w:rsidRPr="00000000" w14:paraId="00000031">
      <w:pPr>
        <w:numPr>
          <w:ilvl w:val="0"/>
          <w:numId w:val="1"/>
        </w:numPr>
        <w:ind w:left="720" w:hanging="360"/>
        <w:rPr>
          <w:highlight w:val="green"/>
        </w:rPr>
      </w:pPr>
      <w:r w:rsidDel="00000000" w:rsidR="00000000" w:rsidRPr="00000000">
        <w:rPr>
          <w:highlight w:val="green"/>
          <w:rtl w:val="0"/>
        </w:rPr>
        <w:t xml:space="preserve">current ratio (CR): GREEN </w:t>
      </w:r>
      <w:r w:rsidDel="00000000" w:rsidR="00000000" w:rsidRPr="00000000">
        <w:rPr>
          <w:sz w:val="36"/>
          <w:szCs w:val="36"/>
          <w:highlight w:val="magenta"/>
          <w:rtl w:val="0"/>
        </w:rPr>
        <w:t xml:space="preserve">EXCEL FILE COMPLETE</w:t>
      </w:r>
      <w:r w:rsidDel="00000000" w:rsidR="00000000" w:rsidRPr="00000000">
        <w:rPr>
          <w:rtl w:val="0"/>
        </w:rPr>
      </w:r>
    </w:p>
    <w:p w:rsidR="00000000" w:rsidDel="00000000" w:rsidP="00000000" w:rsidRDefault="00000000" w:rsidRPr="00000000" w14:paraId="00000032">
      <w:pPr>
        <w:ind w:left="720" w:firstLine="0"/>
        <w:rPr>
          <w:highlight w:val="green"/>
        </w:rPr>
      </w:pPr>
      <w:r w:rsidDel="00000000" w:rsidR="00000000" w:rsidRPr="00000000">
        <w:rPr>
          <w:rtl w:val="0"/>
        </w:rPr>
      </w:r>
    </w:p>
    <w:p w:rsidR="00000000" w:rsidDel="00000000" w:rsidP="00000000" w:rsidRDefault="00000000" w:rsidRPr="00000000" w14:paraId="00000033">
      <w:pPr>
        <w:ind w:left="720" w:firstLine="0"/>
        <w:rPr>
          <w:highlight w:val="green"/>
        </w:rPr>
      </w:pPr>
      <w:r w:rsidDel="00000000" w:rsidR="00000000" w:rsidRPr="00000000">
        <w:rPr>
          <w:highlight w:val="green"/>
        </w:rPr>
        <w:drawing>
          <wp:inline distB="114300" distT="114300" distL="114300" distR="114300">
            <wp:extent cx="3352800" cy="647700"/>
            <wp:effectExtent b="0" l="0" r="0" t="0"/>
            <wp:docPr id="171995254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528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highlight w:val="green"/>
        </w:rPr>
      </w:pPr>
      <w:r w:rsidDel="00000000" w:rsidR="00000000" w:rsidRPr="00000000">
        <w:rPr>
          <w:rtl w:val="0"/>
        </w:rPr>
      </w:r>
    </w:p>
    <w:p w:rsidR="00000000" w:rsidDel="00000000" w:rsidP="00000000" w:rsidRDefault="00000000" w:rsidRPr="00000000" w14:paraId="00000035">
      <w:pPr>
        <w:ind w:left="720" w:firstLine="0"/>
        <w:rPr>
          <w:highlight w:val="green"/>
        </w:rPr>
      </w:pPr>
      <w:r w:rsidDel="00000000" w:rsidR="00000000" w:rsidRPr="00000000">
        <w:rPr>
          <w:highlight w:val="green"/>
          <w:rtl w:val="0"/>
        </w:rPr>
        <w:t xml:space="preserve">for bank</w:t>
      </w:r>
    </w:p>
    <w:p w:rsidR="00000000" w:rsidDel="00000000" w:rsidP="00000000" w:rsidRDefault="00000000" w:rsidRPr="00000000" w14:paraId="00000036">
      <w:pPr>
        <w:ind w:left="720" w:firstLine="0"/>
        <w:rPr>
          <w:highlight w:val="green"/>
        </w:rPr>
      </w:pPr>
      <w:r w:rsidDel="00000000" w:rsidR="00000000" w:rsidRPr="00000000">
        <w:rPr>
          <w:highlight w:val="green"/>
        </w:rPr>
        <w:drawing>
          <wp:inline distB="114300" distT="114300" distL="114300" distR="114300">
            <wp:extent cx="5731200" cy="698500"/>
            <wp:effectExtent b="0" l="0" r="0" t="0"/>
            <wp:docPr id="171995253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ind w:left="720" w:hanging="360"/>
        <w:rPr>
          <w:highlight w:val="green"/>
        </w:rPr>
      </w:pPr>
      <w:r w:rsidDel="00000000" w:rsidR="00000000" w:rsidRPr="00000000">
        <w:rPr>
          <w:highlight w:val="green"/>
          <w:rtl w:val="0"/>
        </w:rPr>
        <w:t xml:space="preserve">profit margin(PM) : ORANGE </w:t>
      </w:r>
      <w:r w:rsidDel="00000000" w:rsidR="00000000" w:rsidRPr="00000000">
        <w:rPr>
          <w:sz w:val="36"/>
          <w:szCs w:val="36"/>
          <w:highlight w:val="magenta"/>
          <w:rtl w:val="0"/>
        </w:rPr>
        <w:t xml:space="preserve">EXCEL FILE COMPLETE</w:t>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drawing>
          <wp:inline distB="114300" distT="114300" distL="114300" distR="114300">
            <wp:extent cx="5731200" cy="838200"/>
            <wp:effectExtent b="0" l="0" r="0" t="0"/>
            <wp:docPr id="171995254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ind w:left="720" w:hanging="360"/>
        <w:rPr>
          <w:shd w:fill="ff9900" w:val="clear"/>
        </w:rPr>
      </w:pPr>
      <w:r w:rsidDel="00000000" w:rsidR="00000000" w:rsidRPr="00000000">
        <w:rPr>
          <w:shd w:fill="ff9900" w:val="clear"/>
          <w:rtl w:val="0"/>
        </w:rPr>
        <w:t xml:space="preserve">accounts receivable turnover (ART) : </w:t>
      </w:r>
      <w:r w:rsidDel="00000000" w:rsidR="00000000" w:rsidRPr="00000000">
        <w:rPr>
          <w:color w:val="ee0000"/>
          <w:shd w:fill="ff9900" w:val="clear"/>
          <w:rtl w:val="0"/>
        </w:rPr>
        <w:t xml:space="preserve">RED</w:t>
      </w:r>
      <w:r w:rsidDel="00000000" w:rsidR="00000000" w:rsidRPr="00000000">
        <w:rPr>
          <w:shd w:fill="ff9900" w:val="clear"/>
          <w:rtl w:val="0"/>
        </w:rPr>
        <w:t xml:space="preserve"> : </w:t>
      </w:r>
      <w:r w:rsidDel="00000000" w:rsidR="00000000" w:rsidRPr="00000000">
        <w:rPr>
          <w:u w:val="single"/>
          <w:shd w:fill="ff9900" w:val="clear"/>
          <w:rtl w:val="0"/>
        </w:rPr>
        <w:t xml:space="preserve">CALCULATED</w:t>
      </w:r>
    </w:p>
    <w:p w:rsidR="00000000" w:rsidDel="00000000" w:rsidP="00000000" w:rsidRDefault="00000000" w:rsidRPr="00000000" w14:paraId="0000003A">
      <w:pPr>
        <w:ind w:left="720" w:firstLine="0"/>
        <w:rPr>
          <w:u w:val="single"/>
        </w:rPr>
      </w:pPr>
      <w:r w:rsidDel="00000000" w:rsidR="00000000" w:rsidRPr="00000000">
        <w:rPr>
          <w:color w:val="ff0000"/>
          <w:u w:val="single"/>
          <w:shd w:fill="f4cccc" w:val="clear"/>
          <w:rtl w:val="0"/>
        </w:rPr>
        <w:t xml:space="preserve">TOTAL CALCULATE</w:t>
      </w: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rtl w:val="0"/>
        </w:rPr>
      </w:r>
    </w:p>
    <w:p w:rsidR="00000000" w:rsidDel="00000000" w:rsidP="00000000" w:rsidRDefault="00000000" w:rsidRPr="00000000" w14:paraId="0000003D">
      <w:pPr>
        <w:rPr>
          <w:u w:val="single"/>
        </w:rPr>
      </w:pPr>
      <w:r w:rsidDel="00000000" w:rsidR="00000000" w:rsidRPr="00000000">
        <w:rPr>
          <w:u w:val="single"/>
        </w:rPr>
        <w:drawing>
          <wp:inline distB="114300" distT="114300" distL="114300" distR="114300">
            <wp:extent cx="5731200" cy="2298700"/>
            <wp:effectExtent b="0" l="0" r="0" t="0"/>
            <wp:docPr id="171995254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b w:val="1"/>
          <w:bCs w:val="1"/>
          <w:u w:val="single"/>
          <w:rtl w:val="0"/>
        </w:rPr>
        <w:t xml:space="preserve">Accounts Receivable Turnover Ratio (A/R Turnover):</w:t>
      </w:r>
      <w:r w:rsidDel="00000000" w:rsidR="00000000" w:rsidRPr="00000000">
        <w:rPr>
          <w:u w:val="single"/>
          <w:rtl w:val="0"/>
        </w:rPr>
        <w:t xml:space="preserve"> This ratio is </w:t>
      </w:r>
      <w:r w:rsidDel="00000000" w:rsidR="00000000" w:rsidRPr="00000000">
        <w:rPr>
          <w:b w:val="1"/>
          <w:bCs w:val="1"/>
          <w:u w:val="single"/>
          <w:rtl w:val="0"/>
        </w:rPr>
        <w:t xml:space="preserve">not applicable (N/A)</w:t>
      </w:r>
      <w:r w:rsidDel="00000000" w:rsidR="00000000" w:rsidRPr="00000000">
        <w:rPr>
          <w:u w:val="single"/>
          <w:rtl w:val="0"/>
        </w:rPr>
        <w:t xml:space="preserve"> for banks in a meaningful way. Banks do not have "Net Credit Sales" or "Accounts Receivable" from standard commercial sales. Their equivalent is </w:t>
      </w:r>
      <w:r w:rsidDel="00000000" w:rsidR="00000000" w:rsidRPr="00000000">
        <w:rPr>
          <w:b w:val="1"/>
          <w:bCs w:val="1"/>
          <w:u w:val="single"/>
          <w:rtl w:val="0"/>
        </w:rPr>
        <w:t xml:space="preserve">Loans and Advances</w:t>
      </w:r>
      <w:r w:rsidDel="00000000" w:rsidR="00000000" w:rsidRPr="00000000">
        <w:rPr>
          <w:u w:val="single"/>
          <w:rtl w:val="0"/>
        </w:rPr>
        <w:t xml:space="preserve">, but calculating a turnover ratio for this is non-standard and less useful than industry-specific metrics. I will report this ratio as </w:t>
      </w:r>
      <w:r w:rsidDel="00000000" w:rsidR="00000000" w:rsidRPr="00000000">
        <w:rPr>
          <w:b w:val="1"/>
          <w:bCs w:val="1"/>
          <w:u w:val="single"/>
          <w:rtl w:val="0"/>
        </w:rPr>
        <w:t xml:space="preserve">N/A</w:t>
      </w:r>
      <w:r w:rsidDel="00000000" w:rsidR="00000000" w:rsidRPr="00000000">
        <w:rPr>
          <w:u w:val="single"/>
          <w:rtl w:val="0"/>
        </w:rPr>
        <w:t xml:space="preserve"> and focus on the other three requested ratios.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GREEN: MATCHED</w:t>
      </w:r>
    </w:p>
    <w:p w:rsidR="00000000" w:rsidDel="00000000" w:rsidP="00000000" w:rsidRDefault="00000000" w:rsidRPr="00000000" w14:paraId="00000041">
      <w:pPr>
        <w:rPr/>
      </w:pPr>
      <w:r w:rsidDel="00000000" w:rsidR="00000000" w:rsidRPr="00000000">
        <w:rPr>
          <w:rtl w:val="0"/>
        </w:rPr>
        <w:t xml:space="preserve">RED: NOT AT ALL MATCHED</w:t>
      </w:r>
    </w:p>
    <w:p w:rsidR="00000000" w:rsidDel="00000000" w:rsidP="00000000" w:rsidRDefault="00000000" w:rsidRPr="00000000" w14:paraId="00000042">
      <w:pPr>
        <w:rPr/>
      </w:pPr>
      <w:r w:rsidDel="00000000" w:rsidR="00000000" w:rsidRPr="00000000">
        <w:rPr>
          <w:rtl w:val="0"/>
        </w:rPr>
        <w:t xml:space="preserve">ORANGE: MINUTE ERRORS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0" distT="0" distL="0" distR="0">
            <wp:extent cx="2591162" cy="600159"/>
            <wp:effectExtent b="0" l="0" r="0" t="0"/>
            <wp:docPr id="171995254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91162" cy="60015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0" distT="0" distL="0" distR="0">
            <wp:extent cx="4429743" cy="543001"/>
            <wp:effectExtent b="0" l="0" r="0" t="0"/>
            <wp:docPr id="171995254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429743" cy="54300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0" distT="0" distL="0" distR="0">
            <wp:extent cx="2562583" cy="562053"/>
            <wp:effectExtent b="0" l="0" r="0" t="0"/>
            <wp:docPr id="171995254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562583" cy="56205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0" distT="0" distL="0" distR="0">
            <wp:extent cx="2896004" cy="676369"/>
            <wp:effectExtent b="0" l="0" r="0" t="0"/>
            <wp:docPr id="171995254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96004" cy="67636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taking another random company, to further classify orange fields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taking hcl 2019 data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1474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1474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1474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1474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1474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1474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1474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1474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1474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1474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1474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1474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1474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1474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1474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14747"/>
    <w:rPr>
      <w:i w:val="1"/>
      <w:iCs w:val="1"/>
      <w:color w:val="404040" w:themeColor="text1" w:themeTint="0000BF"/>
    </w:rPr>
  </w:style>
  <w:style w:type="paragraph" w:styleId="ListParagraph">
    <w:name w:val="List Paragraph"/>
    <w:basedOn w:val="Normal"/>
    <w:uiPriority w:val="34"/>
    <w:qFormat w:val="1"/>
    <w:rsid w:val="00C14747"/>
    <w:pPr>
      <w:ind w:left="720"/>
      <w:contextualSpacing w:val="1"/>
    </w:pPr>
  </w:style>
  <w:style w:type="character" w:styleId="IntenseEmphasis">
    <w:name w:val="Intense Emphasis"/>
    <w:basedOn w:val="DefaultParagraphFont"/>
    <w:uiPriority w:val="21"/>
    <w:qFormat w:val="1"/>
    <w:rsid w:val="00C14747"/>
    <w:rPr>
      <w:i w:val="1"/>
      <w:iCs w:val="1"/>
      <w:color w:val="2f5496" w:themeColor="accent1" w:themeShade="0000BF"/>
    </w:rPr>
  </w:style>
  <w:style w:type="paragraph" w:styleId="IntenseQuote">
    <w:name w:val="Intense Quote"/>
    <w:basedOn w:val="Normal"/>
    <w:next w:val="Normal"/>
    <w:link w:val="IntenseQuoteChar"/>
    <w:uiPriority w:val="30"/>
    <w:qFormat w:val="1"/>
    <w:rsid w:val="00C1474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14747"/>
    <w:rPr>
      <w:i w:val="1"/>
      <w:iCs w:val="1"/>
      <w:color w:val="2f5496" w:themeColor="accent1" w:themeShade="0000BF"/>
    </w:rPr>
  </w:style>
  <w:style w:type="character" w:styleId="IntenseReference">
    <w:name w:val="Intense Reference"/>
    <w:basedOn w:val="DefaultParagraphFont"/>
    <w:uiPriority w:val="32"/>
    <w:qFormat w:val="1"/>
    <w:rsid w:val="00C1474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WdxniDJvFeORy1HoADhhhNz+9A==">CgMxLjAyDmgudXFkN3NiOHdoeXViOAByITFjX3NKMTNJVENBOTBEYUIzQ2p2WUVPV052bHhkVWR6TQ==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2025-11-10T09:56:00Z</dcterms:created>
  <dc:creator>Sagata Adhikary</dc:creator>
</cp:coreProperties>
</file>