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To help you with your research, here is an organized list of the academic sources and implementation guides referenced in your study materials. These links are categorized by their specific role in your </w:t>
      </w:r>
      <w:r w:rsidDel="00000000" w:rsidR="00000000" w:rsidRPr="00000000">
        <w:rPr>
          <w:b w:val="1"/>
          <w:bCs w:val="1"/>
          <w:rtl w:val="0"/>
        </w:rPr>
        <w:t xml:space="preserve">Grey Relational Analysis (GRA)</w:t>
      </w:r>
      <w:r w:rsidDel="00000000" w:rsidR="00000000" w:rsidRPr="00000000">
        <w:rPr>
          <w:rtl w:val="0"/>
        </w:rPr>
        <w:t xml:space="preserve"> framework.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vhoc02hfkjb4" w:id="0"/>
      <w:bookmarkEnd w:id="0"/>
      <w:r w:rsidDel="00000000" w:rsidR="00000000" w:rsidRPr="00000000">
        <w:rPr>
          <w:b w:val="1"/>
          <w:bCs w:val="1"/>
          <w:color w:val="000000"/>
          <w:sz w:val="26"/>
          <w:szCs w:val="26"/>
          <w:rtl w:val="0"/>
        </w:rPr>
        <w:t xml:space="preserve">1. Fundamental Grey System Theory</w:t>
      </w:r>
    </w:p>
    <w:p w:rsidR="00000000" w:rsidDel="00000000" w:rsidP="00000000" w:rsidRDefault="00000000" w:rsidRPr="00000000" w14:paraId="00000004">
      <w:pPr>
        <w:spacing w:after="240" w:lineRule="auto"/>
        <w:rPr/>
      </w:pPr>
      <w:r w:rsidDel="00000000" w:rsidR="00000000" w:rsidRPr="00000000">
        <w:rPr>
          <w:rtl w:val="0"/>
        </w:rPr>
        <w:t xml:space="preserve">These sources provide the mathematical "First Principles" for your work, establishing why financial markets are treated as "Grey" systems .</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The Foundation (Deng, 1982):</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The Control Problems of Grey Systems</w:t>
        </w:r>
      </w:hyperlink>
      <w:r w:rsidDel="00000000" w:rsidR="00000000" w:rsidRPr="00000000">
        <w:rPr>
          <w:rtl w:val="0"/>
        </w:rPr>
        <w:t xml:space="preserve"> (Reference for the origin of Grey System Theory ).</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Methodology &amp; Examples: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Grey Relational Analysis Guide</w:t>
        </w:r>
      </w:hyperlink>
      <w:r w:rsidDel="00000000" w:rsidR="00000000" w:rsidRPr="00000000">
        <w:rPr>
          <w:rtl w:val="0"/>
        </w:rPr>
        <w:t xml:space="preserve"> (Contains standard equations for data sequences ).</w:t>
      </w:r>
    </w:p>
    <w:p w:rsidR="00000000" w:rsidDel="00000000" w:rsidP="00000000" w:rsidRDefault="00000000" w:rsidRPr="00000000" w14:paraId="00000007">
      <w:pPr>
        <w:numPr>
          <w:ilvl w:val="0"/>
          <w:numId w:val="4"/>
        </w:numPr>
        <w:spacing w:after="240" w:lineRule="auto"/>
        <w:ind w:left="720" w:hanging="360"/>
      </w:pPr>
      <w:r w:rsidDel="00000000" w:rsidR="00000000" w:rsidRPr="00000000">
        <w:rPr>
          <w:b w:val="1"/>
          <w:bCs w:val="1"/>
          <w:rtl w:val="0"/>
        </w:rPr>
        <w:t xml:space="preserve">Multivariate Time Series: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GRA Application on Multivariate Data</w:t>
        </w:r>
      </w:hyperlink>
      <w:r w:rsidDel="00000000" w:rsidR="00000000" w:rsidRPr="00000000">
        <w:rPr>
          <w:rtl w:val="0"/>
        </w:rPr>
        <w:t xml:space="preserve"> (Technical breakdown of sequence comparisons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5wkxb1pcackj" w:id="1"/>
      <w:bookmarkEnd w:id="1"/>
      <w:r w:rsidDel="00000000" w:rsidR="00000000" w:rsidRPr="00000000">
        <w:rPr>
          <w:b w:val="1"/>
          <w:bCs w:val="1"/>
          <w:color w:val="000000"/>
          <w:sz w:val="26"/>
          <w:szCs w:val="26"/>
          <w:rtl w:val="0"/>
        </w:rPr>
        <w:t xml:space="preserve">2. Financial Feature Selection &amp; Stock Ranking</w:t>
      </w:r>
    </w:p>
    <w:p w:rsidR="00000000" w:rsidDel="00000000" w:rsidP="00000000" w:rsidRDefault="00000000" w:rsidRPr="00000000" w14:paraId="0000000A">
      <w:pPr>
        <w:spacing w:after="240" w:lineRule="auto"/>
        <w:rPr/>
      </w:pPr>
      <w:r w:rsidDel="00000000" w:rsidR="00000000" w:rsidRPr="00000000">
        <w:rPr>
          <w:rtl w:val="0"/>
        </w:rPr>
        <w:t xml:space="preserve">These papers serve as direct precedents for replacing subjective methods (like Delphi) with GRA in a stock market context.</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Stock Investment Ranking (Hamzaçebi &amp; Pekkaya):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Determining Stock Investments with GRA</w:t>
        </w:r>
      </w:hyperlink>
      <w:r w:rsidDel="00000000" w:rsidR="00000000" w:rsidRPr="00000000">
        <w:rPr>
          <w:rtl w:val="0"/>
        </w:rPr>
        <w:t xml:space="preserve"> (The primary text for ranking financial indicators ).</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Integrated CRITIC-GRA Models: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Investment Portfolio Selection (2023)</w:t>
        </w:r>
      </w:hyperlink>
      <w:r w:rsidDel="00000000" w:rsidR="00000000" w:rsidRPr="00000000">
        <w:rPr>
          <w:rtl w:val="0"/>
        </w:rPr>
        <w:t xml:space="preserve"> (A modern study on objective weighting ).</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Hybrid Models (IEEE):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GRA and RS Theories for Portfolio Selection</w:t>
        </w:r>
      </w:hyperlink>
      <w:r w:rsidDel="00000000" w:rsidR="00000000" w:rsidRPr="00000000">
        <w:rPr>
          <w:rtl w:val="0"/>
        </w:rPr>
        <w:t xml:space="preserve"> (Shows how to combine GRA with other soft computing methods ).</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Indian Market Application: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Financial Performance in India</w:t>
        </w:r>
      </w:hyperlink>
      <w:r w:rsidDel="00000000" w:rsidR="00000000" w:rsidRPr="00000000">
        <w:rPr>
          <w:rtl w:val="0"/>
        </w:rPr>
        <w:t xml:space="preserve"> (Case study of GRA applied to Indian insurance firms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dd49wexjasx4" w:id="2"/>
      <w:bookmarkEnd w:id="2"/>
      <w:r w:rsidDel="00000000" w:rsidR="00000000" w:rsidRPr="00000000">
        <w:rPr>
          <w:b w:val="1"/>
          <w:bCs w:val="1"/>
          <w:color w:val="000000"/>
          <w:sz w:val="26"/>
          <w:szCs w:val="26"/>
          <w:rtl w:val="0"/>
        </w:rPr>
        <w:t xml:space="preserve">3. Advanced Mathematical Implementation</w:t>
      </w:r>
    </w:p>
    <w:p w:rsidR="00000000" w:rsidDel="00000000" w:rsidP="00000000" w:rsidRDefault="00000000" w:rsidRPr="00000000" w14:paraId="00000011">
      <w:pPr>
        <w:spacing w:after="240" w:lineRule="auto"/>
        <w:rPr/>
      </w:pPr>
      <w:r w:rsidDel="00000000" w:rsidR="00000000" w:rsidRPr="00000000">
        <w:rPr>
          <w:rtl w:val="0"/>
        </w:rPr>
        <w:t xml:space="preserve">Refer to these links for specific technical challenges, such as handling your 12-year Sensex 30 panel data or setting the $\rho$ parameter.</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The Distinguishing Coefficient ($\rho$):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Impact of Parameter in GRA</w:t>
        </w:r>
      </w:hyperlink>
      <w:r w:rsidDel="00000000" w:rsidR="00000000" w:rsidRPr="00000000">
        <w:rPr>
          <w:rtl w:val="0"/>
        </w:rPr>
        <w:t xml:space="preserve"> (Justification for using $\rho = 0.5$ for stability ).</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Panel Data Matrix Handling:</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Modified Deng's Model for Panel Data</w:t>
        </w:r>
      </w:hyperlink>
      <w:r w:rsidDel="00000000" w:rsidR="00000000" w:rsidRPr="00000000">
        <w:rPr>
          <w:rtl w:val="0"/>
        </w:rPr>
        <w:t xml:space="preserve"> (How to scan across 30 companies and 12 years simultaneously ).</w:t>
      </w:r>
    </w:p>
    <w:p w:rsidR="00000000" w:rsidDel="00000000" w:rsidP="00000000" w:rsidRDefault="00000000" w:rsidRPr="00000000" w14:paraId="00000014">
      <w:pPr>
        <w:numPr>
          <w:ilvl w:val="0"/>
          <w:numId w:val="5"/>
        </w:numPr>
        <w:spacing w:after="240" w:lineRule="auto"/>
        <w:ind w:left="720" w:hanging="360"/>
      </w:pPr>
      <w:r w:rsidDel="00000000" w:rsidR="00000000" w:rsidRPr="00000000">
        <w:rPr>
          <w:b w:val="1"/>
          <w:bCs w:val="1"/>
          <w:rtl w:val="0"/>
        </w:rPr>
        <w:t xml:space="preserve">Normalization Logic:</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Green Credit Rating Evaluation</w:t>
        </w:r>
      </w:hyperlink>
      <w:r w:rsidDel="00000000" w:rsidR="00000000" w:rsidRPr="00000000">
        <w:rPr>
          <w:rtl w:val="0"/>
        </w:rPr>
        <w:t xml:space="preserve"> (Detailed formulas for "Nominal-the-Best" criteria like the Current Ratio ).</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9wmaxnsinskb" w:id="3"/>
      <w:bookmarkEnd w:id="3"/>
      <w:r w:rsidDel="00000000" w:rsidR="00000000" w:rsidRPr="00000000">
        <w:rPr>
          <w:b w:val="1"/>
          <w:bCs w:val="1"/>
          <w:color w:val="000000"/>
          <w:sz w:val="26"/>
          <w:szCs w:val="26"/>
          <w:rtl w:val="0"/>
        </w:rPr>
        <w:t xml:space="preserve">4. Programming &amp; Code Resources</w:t>
      </w:r>
    </w:p>
    <w:p w:rsidR="00000000" w:rsidDel="00000000" w:rsidP="00000000" w:rsidRDefault="00000000" w:rsidRPr="00000000" w14:paraId="00000017">
      <w:pPr>
        <w:spacing w:after="240" w:lineRule="auto"/>
        <w:rPr/>
      </w:pPr>
      <w:r w:rsidDel="00000000" w:rsidR="00000000" w:rsidRPr="00000000">
        <w:rPr>
          <w:rtl w:val="0"/>
        </w:rPr>
        <w:t xml:space="preserve">Since you are redoing this for your final year project, these GitHub repositories will help you implement the "Global Consensus" algorithm in Python.</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Python Implementation (General):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GitHub - Grey Relational Analysis (chenyuxiang0425)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CSV Comparison Tool: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GitHub - Latrodect/Grey-Relational-Analysis</w:t>
        </w:r>
      </w:hyperlink>
      <w:r w:rsidDel="00000000" w:rsidR="00000000" w:rsidRPr="00000000">
        <w:rPr>
          <w:rtl w:val="0"/>
        </w:rPr>
        <w:t xml:space="preserve"> (Useful for processing your collected Sensex 30 data ).</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b w:val="1"/>
          <w:bCs w:val="1"/>
          <w:rtl w:val="0"/>
        </w:rPr>
        <w:t xml:space="preserve">Pandas &amp; Panel Data Guide: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Implementation with Python (TowardsDataScience)</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734ryglrok5x" w:id="4"/>
      <w:bookmarkEnd w:id="4"/>
      <w:r w:rsidDel="00000000" w:rsidR="00000000" w:rsidRPr="00000000">
        <w:rPr>
          <w:b w:val="1"/>
          <w:bCs w:val="1"/>
          <w:color w:val="000000"/>
          <w:sz w:val="26"/>
          <w:szCs w:val="26"/>
          <w:rtl w:val="0"/>
        </w:rPr>
        <w:t xml:space="preserve">5. Alternative Methodology Reviews (For Comparison)</w:t>
      </w:r>
    </w:p>
    <w:p w:rsidR="00000000" w:rsidDel="00000000" w:rsidP="00000000" w:rsidRDefault="00000000" w:rsidRPr="00000000" w14:paraId="0000001D">
      <w:pPr>
        <w:spacing w:after="240" w:lineRule="auto"/>
        <w:rPr/>
      </w:pPr>
      <w:r w:rsidDel="00000000" w:rsidR="00000000" w:rsidRPr="00000000">
        <w:rPr>
          <w:rtl w:val="0"/>
        </w:rPr>
        <w:t xml:space="preserve">To write your "Literature Review" without plagiarism, you should understand why you </w:t>
      </w:r>
      <w:r w:rsidDel="00000000" w:rsidR="00000000" w:rsidRPr="00000000">
        <w:rPr>
          <w:i w:val="1"/>
          <w:iCs w:val="1"/>
          <w:rtl w:val="0"/>
        </w:rPr>
        <w:t xml:space="preserve">rejected</w:t>
      </w:r>
      <w:r w:rsidDel="00000000" w:rsidR="00000000" w:rsidRPr="00000000">
        <w:rPr>
          <w:rtl w:val="0"/>
        </w:rPr>
        <w:t xml:space="preserve"> other methods.</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Rough Set Theory:</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Assessment in Hydraulic Engineering</w:t>
        </w:r>
      </w:hyperlink>
      <w:r w:rsidDel="00000000" w:rsidR="00000000" w:rsidRPr="00000000">
        <w:rPr>
          <w:rtl w:val="0"/>
        </w:rPr>
        <w:t xml:space="preserve"> (Explains the "boundary approximation" logic ).</w:t>
      </w:r>
    </w:p>
    <w:p w:rsidR="00000000" w:rsidDel="00000000" w:rsidP="00000000" w:rsidRDefault="00000000" w:rsidRPr="00000000" w14:paraId="0000001F">
      <w:pPr>
        <w:numPr>
          <w:ilvl w:val="0"/>
          <w:numId w:val="2"/>
        </w:numPr>
        <w:spacing w:after="240" w:lineRule="auto"/>
        <w:ind w:left="720" w:hanging="360"/>
      </w:pPr>
      <w:r w:rsidDel="00000000" w:rsidR="00000000" w:rsidRPr="00000000">
        <w:rPr>
          <w:b w:val="1"/>
          <w:bCs w:val="1"/>
          <w:rtl w:val="0"/>
        </w:rPr>
        <w:t xml:space="preserve">Entropy Weight Method:</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Evaluating Manufacturing Configurations</w:t>
        </w:r>
      </w:hyperlink>
      <w:r w:rsidDel="00000000" w:rsidR="00000000" w:rsidRPr="00000000">
        <w:rPr>
          <w:rtl w:val="0"/>
        </w:rPr>
        <w:t xml:space="preserve"> (Shows how EWM measures data dispersion ).</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b w:val="1"/>
          <w:bCs w:val="1"/>
          <w:rtl w:val="0"/>
        </w:rPr>
        <w:t xml:space="preserve">Next Step:</w:t>
      </w:r>
      <w:r w:rsidDel="00000000" w:rsidR="00000000" w:rsidRPr="00000000">
        <w:rPr>
          <w:rtl w:val="0"/>
        </w:rPr>
        <w:t xml:space="preserve"> Would you like me to outline the "Comparative Analysis" section of your paper, specifically focusing on the mathematical reasons why GRA is a better fit for your 12-year Sensex dataset than the Entropy Weight Method?</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ubs.aip.org/aip/acp/article-pdf/doi/10.1063/5.0231308/20156269/030023_1_5.0231308.pdf" TargetMode="External"/><Relationship Id="rId22" Type="http://schemas.openxmlformats.org/officeDocument/2006/relationships/hyperlink" Target="https://www.mdpi.com/2227-9717/12/9/1935" TargetMode="External"/><Relationship Id="rId21" Type="http://schemas.openxmlformats.org/officeDocument/2006/relationships/hyperlink" Target="https://pubs.aip.org/aip/acp/article-pdf/doi/10.1063/5.0231308/20156269/030023_1_5.0231308.pdf" TargetMode="External"/><Relationship Id="rId24" Type="http://schemas.openxmlformats.org/officeDocument/2006/relationships/hyperlink" Target="https://www.mdpi.com/2071-1050/11/6/1506" TargetMode="External"/><Relationship Id="rId23" Type="http://schemas.openxmlformats.org/officeDocument/2006/relationships/hyperlink" Target="https://www.mdpi.com/2227-9717/12/9/19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eronline.com/wp-content/uploads/2020/04/5.-Grey-Relational-Analysis.pdf" TargetMode="External"/><Relationship Id="rId26" Type="http://schemas.openxmlformats.org/officeDocument/2006/relationships/hyperlink" Target="https://github.com/chenyuxiang0425/Grey-Relational-Analysis" TargetMode="External"/><Relationship Id="rId25" Type="http://schemas.openxmlformats.org/officeDocument/2006/relationships/hyperlink" Target="https://www.mdpi.com/2071-1050/11/6/1506" TargetMode="External"/><Relationship Id="rId28" Type="http://schemas.openxmlformats.org/officeDocument/2006/relationships/hyperlink" Target="https://github.com/Latrodect/Grey-Relational-Analysis" TargetMode="External"/><Relationship Id="rId27" Type="http://schemas.openxmlformats.org/officeDocument/2006/relationships/hyperlink" Target="https://github.com/chenyuxiang0425/Grey-Relational-Analysis" TargetMode="External"/><Relationship Id="rId5" Type="http://schemas.openxmlformats.org/officeDocument/2006/relationships/styles" Target="styles.xml"/><Relationship Id="rId6" Type="http://schemas.openxmlformats.org/officeDocument/2006/relationships/hyperlink" Target="https://www.google.com/search?q=https://www.sciencedirect.com/science/article/abs/pii/016769118290025X" TargetMode="External"/><Relationship Id="rId29" Type="http://schemas.openxmlformats.org/officeDocument/2006/relationships/hyperlink" Target="https://github.com/Latrodect/Grey-Relational-Analysis" TargetMode="External"/><Relationship Id="rId7" Type="http://schemas.openxmlformats.org/officeDocument/2006/relationships/hyperlink" Target="https://www.google.com/search?q=https://www.sciencedirect.com/science/article/abs/pii/016769118290025X" TargetMode="External"/><Relationship Id="rId8" Type="http://schemas.openxmlformats.org/officeDocument/2006/relationships/hyperlink" Target="https://jaeronline.com/wp-content/uploads/2020/04/5.-Grey-Relational-Analysis.pdf" TargetMode="External"/><Relationship Id="rId31" Type="http://schemas.openxmlformats.org/officeDocument/2006/relationships/hyperlink" Target="https://towardsdatascience.com/a-guide-to-panel-data-regression-theoretics-and-implementation-with-python-4c84c5055cf8/" TargetMode="External"/><Relationship Id="rId30" Type="http://schemas.openxmlformats.org/officeDocument/2006/relationships/hyperlink" Target="https://towardsdatascience.com/a-guide-to-panel-data-regression-theoretics-and-implementation-with-python-4c84c5055cf8/" TargetMode="External"/><Relationship Id="rId11" Type="http://schemas.openxmlformats.org/officeDocument/2006/relationships/hyperlink" Target="https://comp.utm.my/wp-content/uploads/2013/04/Grey-Relational-Analysis-and-Its-Application-on-Multivariate-Time-Series.pdf" TargetMode="External"/><Relationship Id="rId33" Type="http://schemas.openxmlformats.org/officeDocument/2006/relationships/hyperlink" Target="https://www.mdpi.com/2227-7390/8/8/1308" TargetMode="External"/><Relationship Id="rId10" Type="http://schemas.openxmlformats.org/officeDocument/2006/relationships/hyperlink" Target="https://comp.utm.my/wp-content/uploads/2013/04/Grey-Relational-Analysis-and-Its-Application-on-Multivariate-Time-Series.pdf" TargetMode="External"/><Relationship Id="rId32" Type="http://schemas.openxmlformats.org/officeDocument/2006/relationships/hyperlink" Target="https://www.mdpi.com/2227-7390/8/8/1308" TargetMode="External"/><Relationship Id="rId13" Type="http://schemas.openxmlformats.org/officeDocument/2006/relationships/hyperlink" Target="https://www.researchgate.net/publication/220219307_Determining_of_stock_investments_with_grey_relational_analysis" TargetMode="External"/><Relationship Id="rId35" Type="http://schemas.openxmlformats.org/officeDocument/2006/relationships/hyperlink" Target="https://www.mdpi.com/2227-9717/11/11/3151" TargetMode="External"/><Relationship Id="rId12" Type="http://schemas.openxmlformats.org/officeDocument/2006/relationships/hyperlink" Target="https://www.researchgate.net/publication/220219307_Determining_of_stock_investments_with_grey_relational_analysis" TargetMode="External"/><Relationship Id="rId34" Type="http://schemas.openxmlformats.org/officeDocument/2006/relationships/hyperlink" Target="https://www.mdpi.com/2227-9717/11/11/3151" TargetMode="External"/><Relationship Id="rId15" Type="http://schemas.openxmlformats.org/officeDocument/2006/relationships/hyperlink" Target="https://www.econbiz.de/Record/an-integrated-critic-and-grey-relational-analysis-approach-for-investment-portfolio-selection/10014517043?sid=1295042770" TargetMode="External"/><Relationship Id="rId14" Type="http://schemas.openxmlformats.org/officeDocument/2006/relationships/hyperlink" Target="https://www.econbiz.de/Record/an-integrated-critic-and-grey-relational-analysis-approach-for-investment-portfolio-selection/10014517043?sid=1295042770" TargetMode="External"/><Relationship Id="rId17" Type="http://schemas.openxmlformats.org/officeDocument/2006/relationships/hyperlink" Target="http://ieeexplore.ieee.org/document/5685542/" TargetMode="External"/><Relationship Id="rId16" Type="http://schemas.openxmlformats.org/officeDocument/2006/relationships/hyperlink" Target="http://ieeexplore.ieee.org/document/5685542/" TargetMode="External"/><Relationship Id="rId19" Type="http://schemas.openxmlformats.org/officeDocument/2006/relationships/hyperlink" Target="https://www.emerald.com/gs/article/9/4/502/90818/Financial-performance-assessment-using-Grey" TargetMode="External"/><Relationship Id="rId18" Type="http://schemas.openxmlformats.org/officeDocument/2006/relationships/hyperlink" Target="https://www.emerald.com/gs/article/9/4/502/90818/Financial-performance-assessment-using-Gr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