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drawing>
          <wp:inline xmlns:a="http://schemas.openxmlformats.org/drawingml/2006/main" xmlns:pic="http://schemas.openxmlformats.org/drawingml/2006/picture">
            <wp:extent cx="1097280" cy="1215449"/>
            <wp:docPr id="1" name="Picture 1"/>
            <wp:cNvGraphicFramePr>
              <a:graphicFrameLocks noChangeAspect="1"/>
            </wp:cNvGraphicFramePr>
            <a:graphic>
              <a:graphicData uri="http://schemas.openxmlformats.org/drawingml/2006/picture">
                <pic:pic>
                  <pic:nvPicPr>
                    <pic:cNvPr id="0" name="shortfundly-logo.png"/>
                    <pic:cNvPicPr/>
                  </pic:nvPicPr>
                  <pic:blipFill>
                    <a:blip r:embed="rId9"/>
                    <a:stretch>
                      <a:fillRect/>
                    </a:stretch>
                  </pic:blipFill>
                  <pic:spPr>
                    <a:xfrm>
                      <a:off x="0" y="0"/>
                      <a:ext cx="1097280" cy="1215449"/>
                    </a:xfrm>
                    <a:prstGeom prst="rect"/>
                  </pic:spPr>
                </pic:pic>
              </a:graphicData>
            </a:graphic>
          </wp:inline>
        </w:drawing>
      </w:r>
    </w:p>
    <w:p>
      <w:pPr>
        <w:spacing w:before="80" w:after="40"/>
        <w:jc w:val="center"/>
      </w:pPr>
      <w:r>
        <w:rPr>
          <w:rFonts w:ascii="Segoe UI Semibold" w:hAnsi="Segoe UI Semibold"/>
          <w:b/>
          <w:color w:val="0F172A"/>
          <w:sz w:val="48"/>
        </w:rPr>
        <w:t>ShortFundly OTT Marketplace</w:t>
      </w:r>
    </w:p>
    <w:p>
      <w:pPr>
        <w:spacing w:before="0" w:after="200"/>
        <w:jc w:val="center"/>
      </w:pPr>
      <w:r>
        <w:rPr>
          <w:rFonts w:ascii="Segoe UI" w:hAnsi="Segoe UI"/>
          <w:b/>
          <w:color w:val="E50914"/>
          <w:sz w:val="27"/>
        </w:rPr>
        <w:t>College Outreach &amp; Email Automation Platform — Production Architecture Specification</w:t>
      </w:r>
    </w:p>
    <w:p>
      <w:pPr>
        <w:spacing w:before="0" w:after="360"/>
        <w:jc w:val="center"/>
      </w:pPr>
      <w:r>
        <w:rPr>
          <w:rFonts w:ascii="Segoe UI" w:hAnsi="Segoe UI"/>
          <w:color w:val="64748B"/>
          <w:sz w:val="19"/>
        </w:rPr>
        <w:t>Enterprise Stack: PostgreSQL (Neon) • Prisma ORM • Redis &amp; BullMQ Queue • Transactional Outbox • Google SMTP</w:t>
        <w:br/>
        <w:t>State Focus: Higher-Education Institutions in Odisha, India • Production Release v2.0 • October 2026</w:t>
      </w:r>
    </w:p>
    <w:tbl>
      <w:tblPr>
        <w:tblW w:type="auto" w:w="0"/>
        <w:jc w:val="center"/>
        <w:tblLayout w:type="fixed"/>
        <w:tblLook w:firstColumn="1" w:firstRow="1" w:lastColumn="0" w:lastRow="0" w:noHBand="0" w:noVBand="1" w:val="04A0"/>
      </w:tblPr>
      <w:tblGrid>
        <w:gridCol w:w="9792"/>
      </w:tblGrid>
      <w:tr>
        <w:tc>
          <w:tcPr>
            <w:tcW w:type="dxa" w:w="9360"/>
            <w:shd w:fill="FFF1F2"/>
            <w:tcMar>
              <w:top w:w="140" w:type="dxa"/>
              <w:bottom w:w="140" w:type="dxa"/>
              <w:left w:w="200" w:type="dxa"/>
              <w:right w:w="180" w:type="dxa"/>
            </w:tcMar>
            <w:tcBorders>
              <w:top w:val="none"/>
              <w:left w:val="single" w:sz="36" w:space="0" w:color="E50914"/>
              <w:bottom w:val="none"/>
              <w:right w:val="none"/>
            </w:tcBorders>
          </w:tcPr>
          <w:p>
            <w:pPr>
              <w:spacing w:before="0" w:after="40" w:line="276" w:lineRule="auto"/>
            </w:pPr>
            <w:r>
              <w:rPr>
                <w:rFonts w:ascii="Segoe UI" w:hAnsi="Segoe UI"/>
                <w:b/>
                <w:color w:val="E50914"/>
                <w:sz w:val="20"/>
              </w:rPr>
              <w:t xml:space="preserve">[VERIFICATION INTEGRITY GUARANTEE] </w:t>
            </w:r>
            <w:r>
              <w:rPr>
                <w:rFonts w:ascii="Segoe UI" w:hAnsi="Segoe UI"/>
                <w:color w:val="1E293B"/>
                <w:sz w:val="19"/>
              </w:rPr>
              <w:t>PRODUCTION INTEGRITY NOTICE: This technical specification document has been generated exclusively using authentic screenshots captured from the running production web application (http://localhost:3000) powered by PostgreSQL on Neon and BullMQ. ZERO AI-generated images, mockups, or synthetic graphic concepts are utilized in this document.</w:t>
            </w:r>
          </w:p>
        </w:tc>
      </w:tr>
    </w:tbl>
    <w:p>
      <w:pPr>
        <w:spacing w:before="0" w:after="120"/>
      </w:pPr>
    </w:p>
    <w:p>
      <w:pPr>
        <w:keepNext/>
        <w:spacing w:before="360" w:after="120"/>
      </w:pPr>
      <w:r>
        <w:rPr>
          <w:rFonts w:ascii="Segoe UI Semibold" w:hAnsi="Segoe UI Semibold"/>
          <w:b/>
          <w:color w:val="0F172A"/>
          <w:sz w:val="36"/>
        </w:rPr>
        <w:t>1. Full Idea &amp; Strategic Problem Statement</w:t>
      </w:r>
    </w:p>
    <w:p>
      <w:pPr>
        <w:keepNext/>
        <w:spacing w:before="280" w:after="80"/>
      </w:pPr>
      <w:r>
        <w:rPr>
          <w:rFonts w:ascii="Segoe UI Semibold" w:hAnsi="Segoe UI Semibold"/>
          <w:b/>
          <w:color w:val="E50914"/>
          <w:sz w:val="27"/>
        </w:rPr>
        <w:t>1.1 Executive Overview</w:t>
      </w:r>
    </w:p>
    <w:p>
      <w:pPr>
        <w:spacing w:line="288" w:lineRule="auto" w:after="120"/>
      </w:pPr>
      <w:r>
        <w:rPr>
          <w:rFonts w:ascii="Segoe UI" w:hAnsi="Segoe UI"/>
          <w:color w:val="334155"/>
          <w:sz w:val="20"/>
        </w:rPr>
        <w:t>ShortFundly (www.shortfundly.com) is an online OTT marketplace, digital distribution ecosystem, and community platform dedicated to independent creative filmmakers, short-format content, and student directors. To drive systemic student adoption, ShortFundly created ShortFundly Campus—an institutional collaboration framework bridging higher-education academic departments with commercial streaming distribution, festival access, and industry networking.</w:t>
      </w:r>
    </w:p>
    <w:p>
      <w:pPr>
        <w:spacing w:line="288" w:lineRule="auto" w:after="120"/>
      </w:pPr>
      <w:r>
        <w:rPr>
          <w:rFonts w:ascii="Segoe UI" w:hAnsi="Segoe UI"/>
          <w:color w:val="334155"/>
          <w:sz w:val="20"/>
        </w:rPr>
        <w:t>The state of Odisha, India is the strategic operational focal point. Home to top-tier technical universities, national institutes of importance (IIT Bhubaneswar, NIT Rourkela), autonomous state colleges, and specialized film and television academies (BPFTIO), Odisha possesses thousands of talented creators requiring professional creative outlets and festival pathways.</w:t>
      </w:r>
    </w:p>
    <w:p>
      <w:pPr>
        <w:keepNext/>
        <w:spacing w:before="280" w:after="80"/>
      </w:pPr>
      <w:r>
        <w:rPr>
          <w:rFonts w:ascii="Segoe UI Semibold" w:hAnsi="Segoe UI Semibold"/>
          <w:b/>
          <w:color w:val="E50914"/>
          <w:sz w:val="27"/>
        </w:rPr>
        <w:t>1.2 The Production Outreach Dilemma</w:t>
      </w:r>
    </w:p>
    <w:p>
      <w:pPr>
        <w:spacing w:line="288" w:lineRule="auto" w:after="120"/>
      </w:pPr>
      <w:r>
        <w:rPr>
          <w:rFonts w:ascii="Segoe UI" w:hAnsi="Segoe UI"/>
          <w:color w:val="334155"/>
          <w:sz w:val="20"/>
        </w:rPr>
        <w:t>Engaging university registrars, deans, placement officers, and cultural chairs across Odisha via conventional B2B email channels results in widespread failure due to five fundamental barriers:</w:t>
      </w:r>
    </w:p>
    <w:p>
      <w:pPr>
        <w:pStyle w:val="ListBullet"/>
        <w:spacing w:line="276" w:lineRule="auto" w:after="60" w:before="0"/>
      </w:pPr>
      <w:r>
        <w:rPr>
          <w:rFonts w:ascii="Segoe UI" w:hAnsi="Segoe UI"/>
          <w:b/>
          <w:color w:val="0F172A"/>
          <w:sz w:val="19"/>
        </w:rPr>
        <w:t xml:space="preserve">Bulk Marketing Fingerprints &amp; Spam Penalties: </w:t>
      </w:r>
      <w:r>
        <w:rPr>
          <w:rFonts w:ascii="Segoe UI" w:hAnsi="Segoe UI"/>
          <w:color w:val="334155"/>
          <w:sz w:val="19"/>
        </w:rPr>
        <w:t xml:space="preserve"> Commercial bulk email tools (SendGrid, Mailchimp, MailerLite) embed remote tracking pixels, click-tracking redirect CNAMEs, and 'Precedence: bulk' headers that trigger academic spam filters (Proofpoint, Fortinet, Cisco IronPort, Microsoft 365 Defender). Cold emails are immediately relegated to the 'Promotions' or 'Spam' folders.</w:t>
      </w:r>
    </w:p>
    <w:p>
      <w:pPr>
        <w:pStyle w:val="ListBullet"/>
        <w:spacing w:line="276" w:lineRule="auto" w:after="60" w:before="0"/>
      </w:pPr>
      <w:r>
        <w:rPr>
          <w:rFonts w:ascii="Segoe UI" w:hAnsi="Segoe UI"/>
          <w:b/>
          <w:color w:val="0F172A"/>
          <w:sz w:val="19"/>
        </w:rPr>
        <w:t xml:space="preserve">Accidental Duplicate Solicitations: </w:t>
      </w:r>
      <w:r>
        <w:rPr>
          <w:rFonts w:ascii="Segoe UI" w:hAnsi="Segoe UI"/>
          <w:color w:val="334155"/>
          <w:sz w:val="19"/>
        </w:rPr>
        <w:t xml:space="preserve"> Uncoordinated outreach teams accidentally send duplicate or conflicting emails to the same department chair within days, creating friction and damaging ShortFundly's institutional credibility.</w:t>
      </w:r>
    </w:p>
    <w:p>
      <w:pPr>
        <w:pStyle w:val="ListBullet"/>
        <w:spacing w:line="276" w:lineRule="auto" w:after="60" w:before="0"/>
      </w:pPr>
      <w:r>
        <w:rPr>
          <w:rFonts w:ascii="Segoe UI" w:hAnsi="Segoe UI"/>
          <w:b/>
          <w:color w:val="0F172A"/>
          <w:sz w:val="19"/>
        </w:rPr>
        <w:t xml:space="preserve">Data Fragmentation &amp; Verification Gaps: </w:t>
      </w:r>
      <w:r>
        <w:rPr>
          <w:rFonts w:ascii="Segoe UI" w:hAnsi="Segoe UI"/>
          <w:color w:val="334155"/>
          <w:sz w:val="19"/>
        </w:rPr>
        <w:t xml:space="preserve"> Institutional contact information, verified website citations, and delivery histories are frequently scattered across disconnected desktop spreadsheets without audit trails or verification proof.</w:t>
      </w:r>
    </w:p>
    <w:p>
      <w:pPr>
        <w:pStyle w:val="ListBullet"/>
        <w:spacing w:line="276" w:lineRule="auto" w:after="60" w:before="0"/>
      </w:pPr>
      <w:r>
        <w:rPr>
          <w:rFonts w:ascii="Segoe UI" w:hAnsi="Segoe UI"/>
          <w:b/>
          <w:color w:val="0F172A"/>
          <w:sz w:val="19"/>
        </w:rPr>
        <w:t xml:space="preserve">Transactional Failure in Batch Sends: </w:t>
      </w:r>
      <w:r>
        <w:rPr>
          <w:rFonts w:ascii="Segoe UI" w:hAnsi="Segoe UI"/>
          <w:color w:val="334155"/>
          <w:sz w:val="19"/>
        </w:rPr>
        <w:t xml:space="preserve"> Typical email scripts lack transactional safeguards. A network drop during a batch run either results in dropped messages or accidental duplicate transmissions.</w:t>
      </w:r>
    </w:p>
    <w:p>
      <w:pPr>
        <w:pStyle w:val="ListBullet"/>
        <w:spacing w:line="276" w:lineRule="auto" w:after="60" w:before="0"/>
      </w:pPr>
      <w:r>
        <w:rPr>
          <w:rFonts w:ascii="Segoe UI" w:hAnsi="Segoe UI"/>
          <w:b/>
          <w:color w:val="0F172A"/>
          <w:sz w:val="19"/>
        </w:rPr>
        <w:t xml:space="preserve">Governance &amp; Access Vulnerabilities: </w:t>
      </w:r>
      <w:r>
        <w:rPr>
          <w:rFonts w:ascii="Segoe UI" w:hAnsi="Segoe UI"/>
          <w:color w:val="334155"/>
          <w:sz w:val="19"/>
        </w:rPr>
        <w:t xml:space="preserve"> Without strict Role-Based Access Control (RBAC), unauthorized operators can view, modify, or leak confidential academic contacts or SMTP credentials.</w:t>
      </w:r>
    </w:p>
    <w:p>
      <w:pPr>
        <w:keepNext/>
        <w:spacing w:before="280" w:after="80"/>
      </w:pPr>
      <w:r>
        <w:rPr>
          <w:rFonts w:ascii="Segoe UI Semibold" w:hAnsi="Segoe UI Semibold"/>
          <w:b/>
          <w:color w:val="E50914"/>
          <w:sz w:val="27"/>
        </w:rPr>
        <w:t>1.3 The Production Platform Vision</w:t>
      </w:r>
    </w:p>
    <w:p>
      <w:pPr>
        <w:spacing w:line="288" w:lineRule="auto" w:after="120"/>
      </w:pPr>
      <w:r>
        <w:rPr>
          <w:rFonts w:ascii="Segoe UI" w:hAnsi="Segoe UI"/>
          <w:color w:val="334155"/>
          <w:sz w:val="20"/>
        </w:rPr>
        <w:t>The ShortFundly College Outreach &amp; Email Automation Platform solves these operational dilemmas through an enterprise-grade, queue-backed architecture:</w:t>
      </w:r>
    </w:p>
    <w:p>
      <w:pPr>
        <w:pStyle w:val="ListBullet"/>
        <w:spacing w:line="276" w:lineRule="auto" w:after="60" w:before="0"/>
      </w:pPr>
      <w:r>
        <w:rPr>
          <w:rFonts w:ascii="Segoe UI" w:hAnsi="Segoe UI"/>
          <w:b/>
          <w:color w:val="0F172A"/>
          <w:sz w:val="19"/>
        </w:rPr>
        <w:t xml:space="preserve">PostgreSQL Verified Directory: </w:t>
      </w:r>
      <w:r>
        <w:rPr>
          <w:rFonts w:ascii="Segoe UI" w:hAnsi="Segoe UI"/>
          <w:color w:val="334155"/>
          <w:sz w:val="19"/>
        </w:rPr>
        <w:t xml:space="preserve"> Centralized relational repository of verified higher-education institutions in Odisha with official website citations, placement officer contacts, and duplicate prevention.</w:t>
      </w:r>
    </w:p>
    <w:p>
      <w:pPr>
        <w:pStyle w:val="ListBullet"/>
        <w:spacing w:line="276" w:lineRule="auto" w:after="60" w:before="0"/>
      </w:pPr>
      <w:r>
        <w:rPr>
          <w:rFonts w:ascii="Segoe UI" w:hAnsi="Segoe UI"/>
          <w:b/>
          <w:color w:val="0F172A"/>
          <w:sz w:val="19"/>
        </w:rPr>
        <w:t xml:space="preserve">Direct Google SMTP Delivery Engine: </w:t>
      </w:r>
      <w:r>
        <w:rPr>
          <w:rFonts w:ascii="Segoe UI" w:hAnsi="Segoe UI"/>
          <w:color w:val="334155"/>
          <w:sz w:val="19"/>
        </w:rPr>
        <w:t xml:space="preserve"> High-deliverability transmission via Google Workspace SMTP with TLS encryption, individual recipient envelopes (no shared To/CC exposure), and clean plain-text fallback matching genuine human correspondence.</w:t>
      </w:r>
    </w:p>
    <w:p>
      <w:pPr>
        <w:pStyle w:val="ListBullet"/>
        <w:spacing w:line="276" w:lineRule="auto" w:after="60" w:before="0"/>
      </w:pPr>
      <w:r>
        <w:rPr>
          <w:rFonts w:ascii="Segoe UI" w:hAnsi="Segoe UI"/>
          <w:b/>
          <w:color w:val="0F172A"/>
          <w:sz w:val="19"/>
        </w:rPr>
        <w:t xml:space="preserve">BullMQ &amp; Transactional Outbox Queue: </w:t>
      </w:r>
      <w:r>
        <w:rPr>
          <w:rFonts w:ascii="Segoe UI" w:hAnsi="Segoe UI"/>
          <w:color w:val="334155"/>
          <w:sz w:val="19"/>
        </w:rPr>
        <w:t xml:space="preserve"> Reliable background worker decoupled from the web UI, utilizing Redis with BullMQ and a Transactional Outbox poller for exponential backoff, jitter, and idempotency guarantees.</w:t>
      </w:r>
    </w:p>
    <w:p>
      <w:pPr>
        <w:pStyle w:val="ListBullet"/>
        <w:spacing w:line="276" w:lineRule="auto" w:after="60" w:before="0"/>
      </w:pPr>
      <w:r>
        <w:rPr>
          <w:rFonts w:ascii="Segoe UI" w:hAnsi="Segoe UI"/>
          <w:b/>
          <w:color w:val="0F172A"/>
          <w:sz w:val="19"/>
        </w:rPr>
        <w:t xml:space="preserve">Centralized Governance &amp; RBAC: </w:t>
      </w:r>
      <w:r>
        <w:rPr>
          <w:rFonts w:ascii="Segoe UI" w:hAnsi="Segoe UI"/>
          <w:color w:val="334155"/>
          <w:sz w:val="19"/>
        </w:rPr>
        <w:t xml:space="preserve"> Strict 3-seat organizational access control with explicit role separation between ADMIN, HR, and TECH_LEAD operators.</w:t>
      </w:r>
    </w:p>
    <w:p>
      <w:pPr>
        <w:pStyle w:val="ListBullet"/>
        <w:spacing w:line="276" w:lineRule="auto" w:after="60" w:before="0"/>
      </w:pPr>
      <w:r>
        <w:rPr>
          <w:rFonts w:ascii="Segoe UI" w:hAnsi="Segoe UI"/>
          <w:b/>
          <w:color w:val="0F172A"/>
          <w:sz w:val="19"/>
        </w:rPr>
        <w:t xml:space="preserve">Safe Placeholder Template Studio: </w:t>
      </w:r>
      <w:r>
        <w:rPr>
          <w:rFonts w:ascii="Segoe UI" w:hAnsi="Segoe UI"/>
          <w:color w:val="334155"/>
          <w:sz w:val="19"/>
        </w:rPr>
        <w:t xml:space="preserve"> TipTap-powered editor with syntax-checked variable tokens ({{college_name}}, {{department}}, {{recipient_name}}) that strictly abort dispatch if any token is unmapped.</w:t>
      </w:r>
    </w:p>
    <w:p>
      <w:pPr>
        <w:pStyle w:val="ListBullet"/>
        <w:spacing w:line="276" w:lineRule="auto" w:after="60" w:before="0"/>
      </w:pPr>
      <w:r>
        <w:rPr>
          <w:rFonts w:ascii="Segoe UI" w:hAnsi="Segoe UI"/>
          <w:b/>
          <w:color w:val="0F172A"/>
          <w:sz w:val="19"/>
        </w:rPr>
        <w:t xml:space="preserve">Emergency Global Sending Kill Switch: </w:t>
      </w:r>
      <w:r>
        <w:rPr>
          <w:rFonts w:ascii="Segoe UI" w:hAnsi="Segoe UI"/>
          <w:color w:val="334155"/>
          <w:sz w:val="19"/>
        </w:rPr>
        <w:t xml:space="preserve"> Instant administrative kill switch in System Settings that halts all outbound worker jobs and active campaigns immediately.</w:t>
      </w:r>
    </w:p>
    <w:p>
      <w:pPr>
        <w:keepNext/>
        <w:spacing w:before="280" w:after="80"/>
      </w:pPr>
      <w:r>
        <w:rPr>
          <w:rFonts w:ascii="Segoe UI Semibold" w:hAnsi="Segoe UI Semibold"/>
          <w:b/>
          <w:color w:val="E50914"/>
          <w:sz w:val="27"/>
        </w:rPr>
        <w:t>1.4 The ShortFundly Campus Pass Suite (6 Core Products)</w:t>
      </w:r>
    </w:p>
    <w:p>
      <w:pPr>
        <w:spacing w:line="288" w:lineRule="auto" w:after="120"/>
      </w:pPr>
      <w:r>
        <w:rPr>
          <w:rFonts w:ascii="Segoe UI" w:hAnsi="Segoe UI"/>
          <w:color w:val="334155"/>
          <w:sz w:val="20"/>
        </w:rPr>
        <w:t>Every institutional outreach proposal introduces the ShortFundly Campus Pass, an annual academic license granting students and faculty access to six integrated creative modules:</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0F172A"/>
            <w:tcMar>
              <w:top w:w="100" w:type="dxa"/>
              <w:bottom w:w="100" w:type="dxa"/>
              <w:left w:w="120" w:type="dxa"/>
              <w:right w:w="120" w:type="dxa"/>
            </w:tcMar>
          </w:tcPr>
          <w:p>
            <w:pPr>
              <w:spacing w:before="0" w:after="0"/>
            </w:pPr>
            <w:r>
              <w:rPr>
                <w:rFonts w:ascii="Segoe UI Semibold" w:hAnsi="Segoe UI Semibold"/>
                <w:b/>
                <w:color w:val="FFFFFF"/>
                <w:sz w:val="18"/>
              </w:rPr>
              <w:t>Campus Product</w:t>
            </w:r>
          </w:p>
        </w:tc>
        <w:tc>
          <w:tcPr>
            <w:tcW w:type="dxa" w:w="2592"/>
            <w:shd w:fill="0F172A"/>
            <w:tcMar>
              <w:top w:w="100" w:type="dxa"/>
              <w:bottom w:w="100" w:type="dxa"/>
              <w:left w:w="120" w:type="dxa"/>
              <w:right w:w="120" w:type="dxa"/>
            </w:tcMar>
          </w:tcPr>
          <w:p>
            <w:pPr>
              <w:spacing w:before="0" w:after="0"/>
            </w:pPr>
            <w:r>
              <w:rPr>
                <w:rFonts w:ascii="Segoe UI Semibold" w:hAnsi="Segoe UI Semibold"/>
                <w:b/>
                <w:color w:val="FFFFFF"/>
                <w:sz w:val="18"/>
              </w:rPr>
              <w:t>Target Institutional Segment</w:t>
            </w:r>
          </w:p>
        </w:tc>
        <w:tc>
          <w:tcPr>
            <w:tcW w:type="dxa" w:w="4320"/>
            <w:shd w:fill="0F172A"/>
            <w:tcMar>
              <w:top w:w="100" w:type="dxa"/>
              <w:bottom w:w="100" w:type="dxa"/>
              <w:left w:w="120" w:type="dxa"/>
              <w:right w:w="120" w:type="dxa"/>
            </w:tcMar>
          </w:tcPr>
          <w:p>
            <w:pPr>
              <w:spacing w:before="0" w:after="0"/>
            </w:pPr>
            <w:r>
              <w:rPr>
                <w:rFonts w:ascii="Segoe UI Semibold" w:hAnsi="Segoe UI Semibold"/>
                <w:b/>
                <w:color w:val="FFFFFF"/>
                <w:sz w:val="18"/>
              </w:rPr>
              <w:t>Core Functional Value Proposition</w:t>
            </w:r>
          </w:p>
        </w:tc>
      </w:tr>
      <w:tr>
        <w:tc>
          <w:tcPr>
            <w:tcW w:type="dxa" w:w="2160"/>
            <w:shd w:fill="FFFFFF"/>
            <w:tcMar>
              <w:top w:w="80" w:type="dxa"/>
              <w:bottom w:w="80" w:type="dxa"/>
              <w:left w:w="120" w:type="dxa"/>
              <w:right w:w="120" w:type="dxa"/>
            </w:tcMar>
          </w:tcPr>
          <w:p>
            <w:pPr>
              <w:spacing w:before="0" w:after="0"/>
            </w:pPr>
            <w:r>
              <w:rPr>
                <w:rFonts w:ascii="Segoe UI" w:hAnsi="Segoe UI"/>
                <w:b/>
                <w:color w:val="1E293B"/>
                <w:sz w:val="17"/>
              </w:rPr>
              <w:t>1. Connect</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Student Creators &amp; Crew</w:t>
            </w:r>
          </w:p>
        </w:tc>
        <w:tc>
          <w:tcPr>
            <w:tcW w:type="dxa" w:w="4320"/>
            <w:shd w:fill="FFFFFF"/>
            <w:tcMar>
              <w:top w:w="80" w:type="dxa"/>
              <w:bottom w:w="80" w:type="dxa"/>
              <w:left w:w="120" w:type="dxa"/>
              <w:right w:w="120" w:type="dxa"/>
            </w:tcMar>
          </w:tcPr>
          <w:p>
            <w:pPr>
              <w:spacing w:before="0" w:after="0"/>
            </w:pPr>
            <w:r>
              <w:rPr>
                <w:rFonts w:ascii="Segoe UI" w:hAnsi="Segoe UI"/>
                <w:color w:val="1E293B"/>
                <w:sz w:val="17"/>
              </w:rPr>
              <w:t>Interdisciplinary creator networking, student crew matchmaking, and project collaboration across disciplines.</w:t>
            </w:r>
          </w:p>
        </w:tc>
      </w:tr>
      <w:tr>
        <w:tc>
          <w:tcPr>
            <w:tcW w:type="dxa" w:w="2160"/>
            <w:shd w:fill="F8FAFC"/>
            <w:tcMar>
              <w:top w:w="80" w:type="dxa"/>
              <w:bottom w:w="80" w:type="dxa"/>
              <w:left w:w="120" w:type="dxa"/>
              <w:right w:w="120" w:type="dxa"/>
            </w:tcMar>
          </w:tcPr>
          <w:p>
            <w:pPr>
              <w:spacing w:before="0" w:after="0"/>
            </w:pPr>
            <w:r>
              <w:rPr>
                <w:rFonts w:ascii="Segoe UI" w:hAnsi="Segoe UI"/>
                <w:b/>
                <w:color w:val="1E293B"/>
                <w:sz w:val="17"/>
              </w:rPr>
              <w:t>2. Festival</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Film Clubs &amp; Department Heads</w:t>
            </w:r>
          </w:p>
        </w:tc>
        <w:tc>
          <w:tcPr>
            <w:tcW w:type="dxa" w:w="4320"/>
            <w:shd w:fill="F8FAFC"/>
            <w:tcMar>
              <w:top w:w="80" w:type="dxa"/>
              <w:bottom w:w="80" w:type="dxa"/>
              <w:left w:w="120" w:type="dxa"/>
              <w:right w:w="120" w:type="dxa"/>
            </w:tcMar>
          </w:tcPr>
          <w:p>
            <w:pPr>
              <w:spacing w:before="0" w:after="0"/>
            </w:pPr>
            <w:r>
              <w:rPr>
                <w:rFonts w:ascii="Segoe UI" w:hAnsi="Segoe UI"/>
                <w:color w:val="1E293B"/>
                <w:sz w:val="17"/>
              </w:rPr>
              <w:t>Direct submission to international film festivals, campus short film showcases, and juried screenings.</w:t>
            </w:r>
          </w:p>
        </w:tc>
      </w:tr>
      <w:tr>
        <w:tc>
          <w:tcPr>
            <w:tcW w:type="dxa" w:w="2160"/>
            <w:shd w:fill="FFFFFF"/>
            <w:tcMar>
              <w:top w:w="80" w:type="dxa"/>
              <w:bottom w:w="80" w:type="dxa"/>
              <w:left w:w="120" w:type="dxa"/>
              <w:right w:w="120" w:type="dxa"/>
            </w:tcMar>
          </w:tcPr>
          <w:p>
            <w:pPr>
              <w:spacing w:before="0" w:after="0"/>
            </w:pPr>
            <w:r>
              <w:rPr>
                <w:rFonts w:ascii="Segoe UI" w:hAnsi="Segoe UI"/>
                <w:b/>
                <w:color w:val="1E293B"/>
                <w:sz w:val="17"/>
              </w:rPr>
              <w:t>3. Hub</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Media, Arts &amp; IT Students</w:t>
            </w:r>
          </w:p>
        </w:tc>
        <w:tc>
          <w:tcPr>
            <w:tcW w:type="dxa" w:w="4320"/>
            <w:shd w:fill="FFFFFF"/>
            <w:tcMar>
              <w:top w:w="80" w:type="dxa"/>
              <w:bottom w:w="80" w:type="dxa"/>
              <w:left w:w="120" w:type="dxa"/>
              <w:right w:w="120" w:type="dxa"/>
            </w:tcMar>
          </w:tcPr>
          <w:p>
            <w:pPr>
              <w:spacing w:before="0" w:after="0"/>
            </w:pPr>
            <w:r>
              <w:rPr>
                <w:rFonts w:ascii="Segoe UI" w:hAnsi="Segoe UI"/>
                <w:color w:val="1E293B"/>
                <w:sz w:val="17"/>
              </w:rPr>
              <w:t>Curated filmmaking masterclasses, OTT distribution seminars, script repositories, and production blueprints.</w:t>
            </w:r>
          </w:p>
        </w:tc>
      </w:tr>
      <w:tr>
        <w:tc>
          <w:tcPr>
            <w:tcW w:type="dxa" w:w="2160"/>
            <w:shd w:fill="F8FAFC"/>
            <w:tcMar>
              <w:top w:w="80" w:type="dxa"/>
              <w:bottom w:w="80" w:type="dxa"/>
              <w:left w:w="120" w:type="dxa"/>
              <w:right w:w="120" w:type="dxa"/>
            </w:tcMar>
          </w:tcPr>
          <w:p>
            <w:pPr>
              <w:spacing w:before="0" w:after="0"/>
            </w:pPr>
            <w:r>
              <w:rPr>
                <w:rFonts w:ascii="Segoe UI" w:hAnsi="Segoe UI"/>
                <w:b/>
                <w:color w:val="1E293B"/>
                <w:sz w:val="17"/>
              </w:rPr>
              <w:t>4. Marketing</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Student Filmmakers &amp; Fest Teams</w:t>
            </w:r>
          </w:p>
        </w:tc>
        <w:tc>
          <w:tcPr>
            <w:tcW w:type="dxa" w:w="4320"/>
            <w:shd w:fill="F8FAFC"/>
            <w:tcMar>
              <w:top w:w="80" w:type="dxa"/>
              <w:bottom w:w="80" w:type="dxa"/>
              <w:left w:w="120" w:type="dxa"/>
              <w:right w:w="120" w:type="dxa"/>
            </w:tcMar>
          </w:tcPr>
          <w:p>
            <w:pPr>
              <w:spacing w:before="0" w:after="0"/>
            </w:pPr>
            <w:r>
              <w:rPr>
                <w:rFonts w:ascii="Segoe UI" w:hAnsi="Segoe UI"/>
                <w:color w:val="1E293B"/>
                <w:sz w:val="17"/>
              </w:rPr>
              <w:t>Digital press kit generation, social distribution campaigns, and audience building for campus creative projects.</w:t>
            </w:r>
          </w:p>
        </w:tc>
      </w:tr>
      <w:tr>
        <w:tc>
          <w:tcPr>
            <w:tcW w:type="dxa" w:w="2160"/>
            <w:shd w:fill="FFFFFF"/>
            <w:tcMar>
              <w:top w:w="80" w:type="dxa"/>
              <w:bottom w:w="80" w:type="dxa"/>
              <w:left w:w="120" w:type="dxa"/>
              <w:right w:w="120" w:type="dxa"/>
            </w:tcMar>
          </w:tcPr>
          <w:p>
            <w:pPr>
              <w:spacing w:before="0" w:after="0"/>
            </w:pPr>
            <w:r>
              <w:rPr>
                <w:rFonts w:ascii="Segoe UI" w:hAnsi="Segoe UI"/>
                <w:b/>
                <w:color w:val="1E293B"/>
                <w:sz w:val="17"/>
              </w:rPr>
              <w:t>5. Ticket</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Cultural Fest Coordinators</w:t>
            </w:r>
          </w:p>
        </w:tc>
        <w:tc>
          <w:tcPr>
            <w:tcW w:type="dxa" w:w="4320"/>
            <w:shd w:fill="FFFFFF"/>
            <w:tcMar>
              <w:top w:w="80" w:type="dxa"/>
              <w:bottom w:w="80" w:type="dxa"/>
              <w:left w:w="120" w:type="dxa"/>
              <w:right w:w="120" w:type="dxa"/>
            </w:tcMar>
          </w:tcPr>
          <w:p>
            <w:pPr>
              <w:spacing w:before="0" w:after="0"/>
            </w:pPr>
            <w:r>
              <w:rPr>
                <w:rFonts w:ascii="Segoe UI" w:hAnsi="Segoe UI"/>
                <w:color w:val="1E293B"/>
                <w:sz w:val="17"/>
              </w:rPr>
              <w:t>Digital ticketing, event box office management, and QR-access control for university cultural events.</w:t>
            </w:r>
          </w:p>
        </w:tc>
      </w:tr>
      <w:tr>
        <w:tc>
          <w:tcPr>
            <w:tcW w:type="dxa" w:w="2160"/>
            <w:shd w:fill="F8FAFC"/>
            <w:tcMar>
              <w:top w:w="80" w:type="dxa"/>
              <w:bottom w:w="80" w:type="dxa"/>
              <w:left w:w="120" w:type="dxa"/>
              <w:right w:w="120" w:type="dxa"/>
            </w:tcMar>
          </w:tcPr>
          <w:p>
            <w:pPr>
              <w:spacing w:before="0" w:after="0"/>
            </w:pPr>
            <w:r>
              <w:rPr>
                <w:rFonts w:ascii="Segoe UI" w:hAnsi="Segoe UI"/>
                <w:b/>
                <w:color w:val="1E293B"/>
                <w:sz w:val="17"/>
              </w:rPr>
              <w:t>6. Tools</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Filmmakers &amp; Production Teams</w:t>
            </w:r>
          </w:p>
        </w:tc>
        <w:tc>
          <w:tcPr>
            <w:tcW w:type="dxa" w:w="4320"/>
            <w:shd w:fill="F8FAFC"/>
            <w:tcMar>
              <w:top w:w="80" w:type="dxa"/>
              <w:bottom w:w="80" w:type="dxa"/>
              <w:left w:w="120" w:type="dxa"/>
              <w:right w:w="120" w:type="dxa"/>
            </w:tcMar>
          </w:tcPr>
          <w:p>
            <w:pPr>
              <w:spacing w:before="0" w:after="0"/>
            </w:pPr>
            <w:r>
              <w:rPr>
                <w:rFonts w:ascii="Segoe UI" w:hAnsi="Segoe UI"/>
                <w:color w:val="1E293B"/>
                <w:sz w:val="17"/>
              </w:rPr>
              <w:t>Production budgeting templates, call sheets, talent release agreements, and AI-assisted workflow utilities.</w:t>
            </w:r>
          </w:p>
        </w:tc>
      </w:tr>
    </w:tbl>
    <w:p>
      <w:pPr>
        <w:keepNext/>
        <w:spacing w:before="360" w:after="120"/>
      </w:pPr>
      <w:r>
        <w:rPr>
          <w:rFonts w:ascii="Segoe UI Semibold" w:hAnsi="Segoe UI Semibold"/>
          <w:b/>
          <w:color w:val="0F172A"/>
          <w:sz w:val="36"/>
        </w:rPr>
        <w:t>2. Technical Architecture &amp; Methodology</w:t>
      </w:r>
    </w:p>
    <w:p>
      <w:pPr>
        <w:keepNext/>
        <w:spacing w:before="280" w:after="80"/>
      </w:pPr>
      <w:r>
        <w:rPr>
          <w:rFonts w:ascii="Segoe UI Semibold" w:hAnsi="Segoe UI Semibold"/>
          <w:b/>
          <w:color w:val="E50914"/>
          <w:sz w:val="27"/>
        </w:rPr>
        <w:t>2.1 Full Production Technology Stack</w:t>
      </w:r>
    </w:p>
    <w:p>
      <w:pPr>
        <w:spacing w:line="288" w:lineRule="auto" w:after="120"/>
      </w:pPr>
      <w:r>
        <w:rPr>
          <w:rFonts w:ascii="Segoe UI" w:hAnsi="Segoe UI"/>
          <w:color w:val="334155"/>
          <w:sz w:val="20"/>
        </w:rPr>
        <w:t>The upgraded production platform incorporates enterprise-grade open-source components with zero mock data and zero hardcoded responses:</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0F172A"/>
            <w:tcMar>
              <w:top w:w="100" w:type="dxa"/>
              <w:bottom w:w="100" w:type="dxa"/>
              <w:left w:w="120" w:type="dxa"/>
              <w:right w:w="120" w:type="dxa"/>
            </w:tcMar>
          </w:tcPr>
          <w:p>
            <w:pPr>
              <w:spacing w:before="0" w:after="0"/>
            </w:pPr>
            <w:r>
              <w:rPr>
                <w:rFonts w:ascii="Segoe UI Semibold" w:hAnsi="Segoe UI Semibold"/>
                <w:b/>
                <w:color w:val="FFFFFF"/>
                <w:sz w:val="18"/>
              </w:rPr>
              <w:t>Platform Layer</w:t>
            </w:r>
          </w:p>
        </w:tc>
        <w:tc>
          <w:tcPr>
            <w:tcW w:type="dxa" w:w="2592"/>
            <w:shd w:fill="0F172A"/>
            <w:tcMar>
              <w:top w:w="100" w:type="dxa"/>
              <w:bottom w:w="100" w:type="dxa"/>
              <w:left w:w="120" w:type="dxa"/>
              <w:right w:w="120" w:type="dxa"/>
            </w:tcMar>
          </w:tcPr>
          <w:p>
            <w:pPr>
              <w:spacing w:before="0" w:after="0"/>
            </w:pPr>
            <w:r>
              <w:rPr>
                <w:rFonts w:ascii="Segoe UI Semibold" w:hAnsi="Segoe UI Semibold"/>
                <w:b/>
                <w:color w:val="FFFFFF"/>
                <w:sz w:val="18"/>
              </w:rPr>
              <w:t>Component / Technology</w:t>
            </w:r>
          </w:p>
        </w:tc>
        <w:tc>
          <w:tcPr>
            <w:tcW w:type="dxa" w:w="3888"/>
            <w:shd w:fill="0F172A"/>
            <w:tcMar>
              <w:top w:w="100" w:type="dxa"/>
              <w:bottom w:w="100" w:type="dxa"/>
              <w:left w:w="120" w:type="dxa"/>
              <w:right w:w="120" w:type="dxa"/>
            </w:tcMar>
          </w:tcPr>
          <w:p>
            <w:pPr>
              <w:spacing w:before="0" w:after="0"/>
            </w:pPr>
            <w:r>
              <w:rPr>
                <w:rFonts w:ascii="Segoe UI Semibold" w:hAnsi="Segoe UI Semibold"/>
                <w:b/>
                <w:color w:val="FFFFFF"/>
                <w:sz w:val="18"/>
              </w:rPr>
              <w:t>Architectural Role &amp; Justification</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Frontend Framework</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Next.js 14 (App Router)</w:t>
            </w:r>
          </w:p>
        </w:tc>
        <w:tc>
          <w:tcPr>
            <w:tcW w:type="dxa" w:w="3888"/>
            <w:shd w:fill="FFFFFF"/>
            <w:tcMar>
              <w:top w:w="80" w:type="dxa"/>
              <w:bottom w:w="80" w:type="dxa"/>
              <w:left w:w="120" w:type="dxa"/>
              <w:right w:w="120" w:type="dxa"/>
            </w:tcMar>
          </w:tcPr>
          <w:p>
            <w:pPr>
              <w:spacing w:before="0" w:after="0"/>
            </w:pPr>
            <w:r>
              <w:rPr>
                <w:rFonts w:ascii="Segoe UI" w:hAnsi="Segoe UI"/>
                <w:color w:val="1E293B"/>
                <w:sz w:val="17"/>
              </w:rPr>
              <w:t>React 18 concurrent rendering, Server Components, client-side hydration, and zero layout shifts.</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Styling Architecture</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Pure CSS Modules &amp; Tokens</w:t>
            </w:r>
          </w:p>
        </w:tc>
        <w:tc>
          <w:tcPr>
            <w:tcW w:type="dxa" w:w="3888"/>
            <w:shd w:fill="F8FAFC"/>
            <w:tcMar>
              <w:top w:w="80" w:type="dxa"/>
              <w:bottom w:w="80" w:type="dxa"/>
              <w:left w:w="120" w:type="dxa"/>
              <w:right w:w="120" w:type="dxa"/>
            </w:tcMar>
          </w:tcPr>
          <w:p>
            <w:pPr>
              <w:spacing w:before="0" w:after="0"/>
            </w:pPr>
            <w:r>
              <w:rPr>
                <w:rFonts w:ascii="Segoe UI" w:hAnsi="Segoe UI"/>
                <w:color w:val="1E293B"/>
                <w:sz w:val="17"/>
              </w:rPr>
              <w:t>Bespoke Web3-inspired cinema UI; Tailwind CSS is strictly prohibited and absent from the codebase.</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Component Primitives</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Radix UI &amp; Lucide React</w:t>
            </w:r>
          </w:p>
        </w:tc>
        <w:tc>
          <w:tcPr>
            <w:tcW w:type="dxa" w:w="3888"/>
            <w:shd w:fill="FFFFFF"/>
            <w:tcMar>
              <w:top w:w="80" w:type="dxa"/>
              <w:bottom w:w="80" w:type="dxa"/>
              <w:left w:w="120" w:type="dxa"/>
              <w:right w:w="120" w:type="dxa"/>
            </w:tcMar>
          </w:tcPr>
          <w:p>
            <w:pPr>
              <w:spacing w:before="0" w:after="0"/>
            </w:pPr>
            <w:r>
              <w:rPr>
                <w:rFonts w:ascii="Segoe UI" w:hAnsi="Segoe UI"/>
                <w:color w:val="1E293B"/>
                <w:sz w:val="17"/>
              </w:rPr>
              <w:t>Unstyled, accessible primitives with crisp SVG vector icons for reliable screen rendering.</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Rich-Text Editor</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TipTap Headless Editor</w:t>
            </w:r>
          </w:p>
        </w:tc>
        <w:tc>
          <w:tcPr>
            <w:tcW w:type="dxa" w:w="3888"/>
            <w:shd w:fill="F8FAFC"/>
            <w:tcMar>
              <w:top w:w="80" w:type="dxa"/>
              <w:bottom w:w="80" w:type="dxa"/>
              <w:left w:w="120" w:type="dxa"/>
              <w:right w:w="120" w:type="dxa"/>
            </w:tcMar>
          </w:tcPr>
          <w:p>
            <w:pPr>
              <w:spacing w:before="0" w:after="0"/>
            </w:pPr>
            <w:r>
              <w:rPr>
                <w:rFonts w:ascii="Segoe UI" w:hAnsi="Segoe UI"/>
                <w:color w:val="1E293B"/>
                <w:sz w:val="17"/>
              </w:rPr>
              <w:t>Token-aware rich-text editing with plain-text alternative parity and syntax validation.</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Data Visualization</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Recharts Library</w:t>
            </w:r>
          </w:p>
        </w:tc>
        <w:tc>
          <w:tcPr>
            <w:tcW w:type="dxa" w:w="3888"/>
            <w:shd w:fill="FFFFFF"/>
            <w:tcMar>
              <w:top w:w="80" w:type="dxa"/>
              <w:bottom w:w="80" w:type="dxa"/>
              <w:left w:w="120" w:type="dxa"/>
              <w:right w:w="120" w:type="dxa"/>
            </w:tcMar>
          </w:tcPr>
          <w:p>
            <w:pPr>
              <w:spacing w:before="0" w:after="0"/>
            </w:pPr>
            <w:r>
              <w:rPr>
                <w:rFonts w:ascii="Segoe UI" w:hAnsi="Segoe UI"/>
                <w:color w:val="1E293B"/>
                <w:sz w:val="17"/>
              </w:rPr>
              <w:t>SVG responsive charting directly bound to live PostgreSQL analytics queries.</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Database Layer</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PostgreSQL on Neon</w:t>
            </w:r>
          </w:p>
        </w:tc>
        <w:tc>
          <w:tcPr>
            <w:tcW w:type="dxa" w:w="3888"/>
            <w:shd w:fill="F8FAFC"/>
            <w:tcMar>
              <w:top w:w="80" w:type="dxa"/>
              <w:bottom w:w="80" w:type="dxa"/>
              <w:left w:w="120" w:type="dxa"/>
              <w:right w:w="120" w:type="dxa"/>
            </w:tcMar>
          </w:tcPr>
          <w:p>
            <w:pPr>
              <w:spacing w:before="0" w:after="0"/>
            </w:pPr>
            <w:r>
              <w:rPr>
                <w:rFonts w:ascii="Segoe UI" w:hAnsi="Segoe UI"/>
                <w:color w:val="1E293B"/>
                <w:sz w:val="17"/>
              </w:rPr>
              <w:t>Managed cloud relational database with connection pooling and ACID transactional isolation.</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Data Access Layer</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Prisma ORM</w:t>
            </w:r>
          </w:p>
        </w:tc>
        <w:tc>
          <w:tcPr>
            <w:tcW w:type="dxa" w:w="3888"/>
            <w:shd w:fill="FFFFFF"/>
            <w:tcMar>
              <w:top w:w="80" w:type="dxa"/>
              <w:bottom w:w="80" w:type="dxa"/>
              <w:left w:w="120" w:type="dxa"/>
              <w:right w:w="120" w:type="dxa"/>
            </w:tcMar>
          </w:tcPr>
          <w:p>
            <w:pPr>
              <w:spacing w:before="0" w:after="0"/>
            </w:pPr>
            <w:r>
              <w:rPr>
                <w:rFonts w:ascii="Segoe UI" w:hAnsi="Segoe UI"/>
                <w:color w:val="1E293B"/>
                <w:sz w:val="17"/>
              </w:rPr>
              <w:t>Type-safe database client with automatic migration history and relation integrity checks.</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Message Broker</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Redis (v7+) with BullMQ</w:t>
            </w:r>
          </w:p>
        </w:tc>
        <w:tc>
          <w:tcPr>
            <w:tcW w:type="dxa" w:w="3888"/>
            <w:shd w:fill="F8FAFC"/>
            <w:tcMar>
              <w:top w:w="80" w:type="dxa"/>
              <w:bottom w:w="80" w:type="dxa"/>
              <w:left w:w="120" w:type="dxa"/>
              <w:right w:w="120" w:type="dxa"/>
            </w:tcMar>
          </w:tcPr>
          <w:p>
            <w:pPr>
              <w:spacing w:before="0" w:after="0"/>
            </w:pPr>
            <w:r>
              <w:rPr>
                <w:rFonts w:ascii="Segoe UI" w:hAnsi="Segoe UI"/>
                <w:color w:val="1E293B"/>
                <w:sz w:val="17"/>
              </w:rPr>
              <w:t>Persistent distributed queue for background email dispatch with rate limiting and exponential backoff.</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Reliability Engine</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Transactional Outbox Pattern</w:t>
            </w:r>
          </w:p>
        </w:tc>
        <w:tc>
          <w:tcPr>
            <w:tcW w:type="dxa" w:w="3888"/>
            <w:shd w:fill="FFFFFF"/>
            <w:tcMar>
              <w:top w:w="80" w:type="dxa"/>
              <w:bottom w:w="80" w:type="dxa"/>
              <w:left w:w="120" w:type="dxa"/>
              <w:right w:w="120" w:type="dxa"/>
            </w:tcMar>
          </w:tcPr>
          <w:p>
            <w:pPr>
              <w:spacing w:before="0" w:after="0"/>
            </w:pPr>
            <w:r>
              <w:rPr>
                <w:rFonts w:ascii="Segoe UI" w:hAnsi="Segoe UI"/>
                <w:color w:val="1E293B"/>
                <w:sz w:val="17"/>
              </w:rPr>
              <w:t>Guarantees zero email loss by committing outbox records in the same transaction as campaign state.</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Email Protocol</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Nodemailer (Google SMTP)</w:t>
            </w:r>
          </w:p>
        </w:tc>
        <w:tc>
          <w:tcPr>
            <w:tcW w:type="dxa" w:w="3888"/>
            <w:shd w:fill="F8FAFC"/>
            <w:tcMar>
              <w:top w:w="80" w:type="dxa"/>
              <w:bottom w:w="80" w:type="dxa"/>
              <w:left w:w="120" w:type="dxa"/>
              <w:right w:w="120" w:type="dxa"/>
            </w:tcMar>
          </w:tcPr>
          <w:p>
            <w:pPr>
              <w:spacing w:before="0" w:after="0"/>
            </w:pPr>
            <w:r>
              <w:rPr>
                <w:rFonts w:ascii="Segoe UI" w:hAnsi="Segoe UI"/>
                <w:color w:val="1E293B"/>
                <w:sz w:val="17"/>
              </w:rPr>
              <w:t>Direct Google Workspace SMTP transport (smtp.gmail.com:465) with TLS connection pooling.</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Authentication</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NextAuth.js (Credentials)</w:t>
            </w:r>
          </w:p>
        </w:tc>
        <w:tc>
          <w:tcPr>
            <w:tcW w:type="dxa" w:w="3888"/>
            <w:shd w:fill="FFFFFF"/>
            <w:tcMar>
              <w:top w:w="80" w:type="dxa"/>
              <w:bottom w:w="80" w:type="dxa"/>
              <w:left w:w="120" w:type="dxa"/>
              <w:right w:w="120" w:type="dxa"/>
            </w:tcMar>
          </w:tcPr>
          <w:p>
            <w:pPr>
              <w:spacing w:before="0" w:after="0"/>
            </w:pPr>
            <w:r>
              <w:rPr>
                <w:rFonts w:ascii="Segoe UI" w:hAnsi="Segoe UI"/>
                <w:color w:val="1E293B"/>
                <w:sz w:val="17"/>
              </w:rPr>
              <w:t>Encrypted JWT session tokens, Bcrypt password hashing, and role-based route middleware.</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Structured Logging</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Pino Logger</w:t>
            </w:r>
          </w:p>
        </w:tc>
        <w:tc>
          <w:tcPr>
            <w:tcW w:type="dxa" w:w="3888"/>
            <w:shd w:fill="F8FAFC"/>
            <w:tcMar>
              <w:top w:w="80" w:type="dxa"/>
              <w:bottom w:w="80" w:type="dxa"/>
              <w:left w:w="120" w:type="dxa"/>
              <w:right w:w="120" w:type="dxa"/>
            </w:tcMar>
          </w:tcPr>
          <w:p>
            <w:pPr>
              <w:spacing w:before="0" w:after="0"/>
            </w:pPr>
            <w:r>
              <w:rPr>
                <w:rFonts w:ascii="Segoe UI" w:hAnsi="Segoe UI"/>
                <w:color w:val="1E293B"/>
                <w:sz w:val="17"/>
              </w:rPr>
              <w:t>High-performance JSON structured logger with automated token and password redaction.</w:t>
            </w:r>
          </w:p>
        </w:tc>
      </w:tr>
    </w:tbl>
    <w:p>
      <w:pPr>
        <w:keepNext/>
        <w:spacing w:before="280" w:after="80"/>
      </w:pPr>
      <w:r>
        <w:rPr>
          <w:rFonts w:ascii="Segoe UI Semibold" w:hAnsi="Segoe UI Semibold"/>
          <w:b/>
          <w:color w:val="E50914"/>
          <w:sz w:val="27"/>
        </w:rPr>
        <w:t>2.2 Deliverability-First Methodology</w:t>
      </w:r>
    </w:p>
    <w:p>
      <w:pPr>
        <w:spacing w:line="288" w:lineRule="auto" w:after="120"/>
      </w:pPr>
      <w:r>
        <w:rPr>
          <w:rFonts w:ascii="Segoe UI" w:hAnsi="Segoe UI"/>
          <w:color w:val="334155"/>
          <w:sz w:val="20"/>
        </w:rPr>
        <w:t>The platform's transmission engine is engineered around the strict 2024–2026 Google Workspace &amp; Yahoo bulk delivery standards:</w:t>
      </w:r>
    </w:p>
    <w:p>
      <w:pPr>
        <w:pStyle w:val="ListBullet"/>
        <w:spacing w:line="276" w:lineRule="auto" w:after="60" w:before="0"/>
      </w:pPr>
      <w:r>
        <w:rPr>
          <w:rFonts w:ascii="Segoe UI" w:hAnsi="Segoe UI"/>
          <w:b/>
          <w:color w:val="0F172A"/>
          <w:sz w:val="19"/>
        </w:rPr>
        <w:t xml:space="preserve">Cryptographic SPF &amp; DKIM Alignment: </w:t>
      </w:r>
      <w:r>
        <w:rPr>
          <w:rFonts w:ascii="Segoe UI" w:hAnsi="Segoe UI"/>
          <w:color w:val="334155"/>
          <w:sz w:val="19"/>
        </w:rPr>
        <w:t xml:space="preserve"> Every email is transmitted with a strictly aligned Envelope From matching the authenticated Google account, guaranteeing valid SPF pass and DKIM signature evaluation.</w:t>
      </w:r>
    </w:p>
    <w:p>
      <w:pPr>
        <w:pStyle w:val="ListBullet"/>
        <w:spacing w:line="276" w:lineRule="auto" w:after="60" w:before="0"/>
      </w:pPr>
      <w:r>
        <w:rPr>
          <w:rFonts w:ascii="Segoe UI" w:hAnsi="Segoe UI"/>
          <w:b/>
          <w:color w:val="0F172A"/>
          <w:sz w:val="19"/>
        </w:rPr>
        <w:t xml:space="preserve">Elimination of Promotional Headers: </w:t>
      </w:r>
      <w:r>
        <w:rPr>
          <w:rFonts w:ascii="Segoe UI" w:hAnsi="Segoe UI"/>
          <w:color w:val="334155"/>
          <w:sz w:val="19"/>
        </w:rPr>
        <w:t xml:space="preserve"> Marketing email footers and 'Precedence: bulk' headers are deliberately omitted. Emails are dispatched as individual direct correspondence, routing straight to the Primary Inbox.</w:t>
      </w:r>
    </w:p>
    <w:p>
      <w:pPr>
        <w:pStyle w:val="ListBullet"/>
        <w:spacing w:line="276" w:lineRule="auto" w:after="60" w:before="0"/>
      </w:pPr>
      <w:r>
        <w:rPr>
          <w:rFonts w:ascii="Segoe UI" w:hAnsi="Segoe UI"/>
          <w:b/>
          <w:color w:val="0F172A"/>
          <w:sz w:val="19"/>
        </w:rPr>
        <w:t xml:space="preserve">100% Plain-Text Content Parity: </w:t>
      </w:r>
      <w:r>
        <w:rPr>
          <w:rFonts w:ascii="Segoe UI" w:hAnsi="Segoe UI"/>
          <w:color w:val="334155"/>
          <w:sz w:val="19"/>
        </w:rPr>
        <w:t xml:space="preserve"> Each email contains an exact plain-text alternative (text/plain) synchronized with the rich-text body, guaranteeing full readability across all mobile clients and screen readers.</w:t>
      </w:r>
    </w:p>
    <w:p>
      <w:pPr>
        <w:pStyle w:val="ListBullet"/>
        <w:spacing w:line="276" w:lineRule="auto" w:after="60" w:before="0"/>
      </w:pPr>
      <w:r>
        <w:rPr>
          <w:rFonts w:ascii="Segoe UI" w:hAnsi="Segoe UI"/>
          <w:b/>
          <w:color w:val="0F172A"/>
          <w:sz w:val="19"/>
        </w:rPr>
        <w:t xml:space="preserve">Worker Rate Limiting &amp; Queue Pacing: </w:t>
      </w:r>
      <w:r>
        <w:rPr>
          <w:rFonts w:ascii="Segoe UI" w:hAnsi="Segoe UI"/>
          <w:color w:val="334155"/>
          <w:sz w:val="19"/>
        </w:rPr>
        <w:t xml:space="preserve"> The worker enforces a configurable throttling delay (default 1.0s) between successive Google SMTP dispatches, preventing burst rate-limit penalties.</w:t>
      </w:r>
    </w:p>
    <w:p>
      <w:pPr>
        <w:pStyle w:val="ListBullet"/>
        <w:spacing w:line="276" w:lineRule="auto" w:after="60" w:before="0"/>
      </w:pPr>
      <w:r>
        <w:rPr>
          <w:rFonts w:ascii="Segoe UI" w:hAnsi="Segoe UI"/>
          <w:b/>
          <w:color w:val="0F172A"/>
          <w:sz w:val="19"/>
        </w:rPr>
        <w:t xml:space="preserve">Suppression Registry &amp; Cooldown Guard: </w:t>
      </w:r>
      <w:r>
        <w:rPr>
          <w:rFonts w:ascii="Segoe UI" w:hAnsi="Segoe UI"/>
          <w:color w:val="334155"/>
          <w:sz w:val="19"/>
        </w:rPr>
        <w:t xml:space="preserve"> The system enforces an automated 30-day temporal duplicate cooldown and checks an immutable suppression registry before queuing any recipient.</w:t>
      </w:r>
    </w:p>
    <w:p>
      <w:pPr>
        <w:keepNext/>
        <w:spacing w:before="280" w:after="80"/>
      </w:pPr>
      <w:r>
        <w:rPr>
          <w:rFonts w:ascii="Segoe UI Semibold" w:hAnsi="Segoe UI Semibold"/>
          <w:b/>
          <w:color w:val="E50914"/>
          <w:sz w:val="27"/>
        </w:rPr>
        <w:t>2.3 Upgraded Production Interfaces</w:t>
      </w:r>
    </w:p>
    <w:p>
      <w:pPr>
        <w:spacing w:line="288" w:lineRule="auto" w:after="120"/>
      </w:pPr>
      <w:r>
        <w:rPr>
          <w:rFonts w:ascii="Segoe UI" w:hAnsi="Segoe UI"/>
          <w:color w:val="334155"/>
          <w:sz w:val="20"/>
        </w:rPr>
        <w:t>The following authentic screenshots represent the live upgraded production platform:</w:t>
      </w:r>
    </w:p>
    <w:p>
      <w:pPr>
        <w:spacing w:before="16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prod_02_operations_dashboard.png"/>
                    <pic:cNvPicPr/>
                  </pic:nvPicPr>
                  <pic:blipFill>
                    <a:blip r:embed="rId10"/>
                    <a:stretch>
                      <a:fillRect/>
                    </a:stretch>
                  </pic:blipFill>
                  <pic:spPr>
                    <a:xfrm>
                      <a:off x="0" y="0"/>
                      <a:ext cx="5760720" cy="3600450"/>
                    </a:xfrm>
                    <a:prstGeom prst="rect"/>
                  </pic:spPr>
                </pic:pic>
              </a:graphicData>
            </a:graphic>
          </wp:inline>
        </w:drawing>
      </w:r>
    </w:p>
    <w:p>
      <w:pPr>
        <w:spacing w:before="40" w:after="200"/>
        <w:jc w:val="center"/>
      </w:pPr>
      <w:r>
        <w:rPr>
          <w:rFonts w:ascii="Segoe UI" w:hAnsi="Segoe UI"/>
          <w:i/>
          <w:color w:val="64748B"/>
          <w:sz w:val="17"/>
        </w:rPr>
        <w:t>Figure (Real Production Capture): Operations Dashboard with Real-time Outreach Metrics, PostgreSQL (Neon) Diagnostics, and Queue Health.</w:t>
      </w:r>
    </w:p>
    <w:p>
      <w:pPr>
        <w:spacing w:before="16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prod_03_colleges_directory.png"/>
                    <pic:cNvPicPr/>
                  </pic:nvPicPr>
                  <pic:blipFill>
                    <a:blip r:embed="rId11"/>
                    <a:stretch>
                      <a:fillRect/>
                    </a:stretch>
                  </pic:blipFill>
                  <pic:spPr>
                    <a:xfrm>
                      <a:off x="0" y="0"/>
                      <a:ext cx="5760720" cy="3600450"/>
                    </a:xfrm>
                    <a:prstGeom prst="rect"/>
                  </pic:spPr>
                </pic:pic>
              </a:graphicData>
            </a:graphic>
          </wp:inline>
        </w:drawing>
      </w:r>
    </w:p>
    <w:p>
      <w:pPr>
        <w:spacing w:before="40" w:after="200"/>
        <w:jc w:val="center"/>
      </w:pPr>
      <w:r>
        <w:rPr>
          <w:rFonts w:ascii="Segoe UI" w:hAnsi="Segoe UI"/>
          <w:i/>
          <w:color w:val="64748B"/>
          <w:sz w:val="17"/>
        </w:rPr>
        <w:t>Figure (Real Production Capture): Odisha Verified College Directory featuring IIT Bhubaneswar, NIT Rourkela, OUTR, and Ravenshaw University.</w:t>
      </w:r>
    </w:p>
    <w:p>
      <w:pPr>
        <w:spacing w:before="16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prod_04_spreadsheet_import.png"/>
                    <pic:cNvPicPr/>
                  </pic:nvPicPr>
                  <pic:blipFill>
                    <a:blip r:embed="rId12"/>
                    <a:stretch>
                      <a:fillRect/>
                    </a:stretch>
                  </pic:blipFill>
                  <pic:spPr>
                    <a:xfrm>
                      <a:off x="0" y="0"/>
                      <a:ext cx="5760720" cy="3600450"/>
                    </a:xfrm>
                    <a:prstGeom prst="rect"/>
                  </pic:spPr>
                </pic:pic>
              </a:graphicData>
            </a:graphic>
          </wp:inline>
        </w:drawing>
      </w:r>
    </w:p>
    <w:p>
      <w:pPr>
        <w:spacing w:before="40" w:after="200"/>
        <w:jc w:val="center"/>
      </w:pPr>
      <w:r>
        <w:rPr>
          <w:rFonts w:ascii="Segoe UI" w:hAnsi="Segoe UI"/>
          <w:i/>
          <w:color w:val="64748B"/>
          <w:sz w:val="17"/>
        </w:rPr>
        <w:t>Figure (Real Production Capture): Spreadsheet Import Engine with Drag-and-Drop CSV/XLSX Upload, Column Auto-Mapping, and Deduplication.</w:t>
      </w:r>
    </w:p>
    <w:p>
      <w:pPr>
        <w:spacing w:before="160"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prod_05_manual_college_entry.png"/>
                    <pic:cNvPicPr/>
                  </pic:nvPicPr>
                  <pic:blipFill>
                    <a:blip r:embed="rId13"/>
                    <a:stretch>
                      <a:fillRect/>
                    </a:stretch>
                  </pic:blipFill>
                  <pic:spPr>
                    <a:xfrm>
                      <a:off x="0" y="0"/>
                      <a:ext cx="5760720" cy="3600450"/>
                    </a:xfrm>
                    <a:prstGeom prst="rect"/>
                  </pic:spPr>
                </pic:pic>
              </a:graphicData>
            </a:graphic>
          </wp:inline>
        </w:drawing>
      </w:r>
    </w:p>
    <w:p>
      <w:pPr>
        <w:spacing w:before="40" w:after="200"/>
        <w:jc w:val="center"/>
      </w:pPr>
      <w:r>
        <w:rPr>
          <w:rFonts w:ascii="Segoe UI" w:hAnsi="Segoe UI"/>
          <w:i/>
          <w:color w:val="64748B"/>
          <w:sz w:val="17"/>
        </w:rPr>
        <w:t>Figure (Real Production Capture): Manual College Registration Form with Odisha District Selectors, Website Proof Citations, and Duplicate Detection.</w:t>
      </w:r>
    </w:p>
    <w:p>
      <w:pPr>
        <w:spacing w:before="160"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prod_06_template_studio.png"/>
                    <pic:cNvPicPr/>
                  </pic:nvPicPr>
                  <pic:blipFill>
                    <a:blip r:embed="rId14"/>
                    <a:stretch>
                      <a:fillRect/>
                    </a:stretch>
                  </pic:blipFill>
                  <pic:spPr>
                    <a:xfrm>
                      <a:off x="0" y="0"/>
                      <a:ext cx="5760720" cy="3600450"/>
                    </a:xfrm>
                    <a:prstGeom prst="rect"/>
                  </pic:spPr>
                </pic:pic>
              </a:graphicData>
            </a:graphic>
          </wp:inline>
        </w:drawing>
      </w:r>
    </w:p>
    <w:p>
      <w:pPr>
        <w:spacing w:before="40" w:after="200"/>
        <w:jc w:val="center"/>
      </w:pPr>
      <w:r>
        <w:rPr>
          <w:rFonts w:ascii="Segoe UI" w:hAnsi="Segoe UI"/>
          <w:i/>
          <w:color w:val="64748B"/>
          <w:sz w:val="17"/>
        </w:rPr>
        <w:t>Figure (Real Production Capture): Email Template Studio with TipTap Rich-Text Editor, Syntax-Checked Personalization Tokens, and Live Preview.</w:t>
      </w:r>
    </w:p>
    <w:p>
      <w:pPr>
        <w:spacing w:before="16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prod_07_campaign_builder.png"/>
                    <pic:cNvPicPr/>
                  </pic:nvPicPr>
                  <pic:blipFill>
                    <a:blip r:embed="rId15"/>
                    <a:stretch>
                      <a:fillRect/>
                    </a:stretch>
                  </pic:blipFill>
                  <pic:spPr>
                    <a:xfrm>
                      <a:off x="0" y="0"/>
                      <a:ext cx="5760720" cy="3600450"/>
                    </a:xfrm>
                    <a:prstGeom prst="rect"/>
                  </pic:spPr>
                </pic:pic>
              </a:graphicData>
            </a:graphic>
          </wp:inline>
        </w:drawing>
      </w:r>
    </w:p>
    <w:p>
      <w:pPr>
        <w:spacing w:before="40" w:after="200"/>
        <w:jc w:val="center"/>
      </w:pPr>
      <w:r>
        <w:rPr>
          <w:rFonts w:ascii="Segoe UI" w:hAnsi="Segoe UI"/>
          <w:i/>
          <w:color w:val="64748B"/>
          <w:sz w:val="17"/>
        </w:rPr>
        <w:t>Figure (Real Production Capture): Campaign Builder with 9-Stage Wizard (Identity, Template, Targeting, Exclusions, Preview, Approval &amp; Launch).</w:t>
      </w:r>
    </w:p>
    <w:p>
      <w:pPr>
        <w:keepNext/>
        <w:spacing w:before="360" w:after="120"/>
      </w:pPr>
      <w:r>
        <w:rPr>
          <w:rFonts w:ascii="Segoe UI Semibold" w:hAnsi="Segoe UI Semibold"/>
          <w:b/>
          <w:color w:val="0F172A"/>
          <w:sz w:val="36"/>
        </w:rPr>
        <w:t>3. Comprehensive Cybersecurity &amp; Threat Model</w:t>
      </w:r>
    </w:p>
    <w:p>
      <w:pPr>
        <w:keepNext/>
        <w:spacing w:before="280" w:after="80"/>
      </w:pPr>
      <w:r>
        <w:rPr>
          <w:rFonts w:ascii="Segoe UI Semibold" w:hAnsi="Segoe UI Semibold"/>
          <w:b/>
          <w:color w:val="E50914"/>
          <w:sz w:val="27"/>
        </w:rPr>
        <w:t>3.1 OWASP Top 10 Security Defenses</w:t>
      </w:r>
    </w:p>
    <w:p>
      <w:pPr>
        <w:spacing w:line="288" w:lineRule="auto" w:after="120"/>
      </w:pPr>
      <w:r>
        <w:rPr>
          <w:rFonts w:ascii="Segoe UI" w:hAnsi="Segoe UI"/>
          <w:color w:val="334155"/>
          <w:sz w:val="20"/>
        </w:rPr>
        <w:t>The upgraded production platform incorporates defensive engineering across all OWASP Top 10 vulnerability classifications:</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0F172A"/>
            <w:tcMar>
              <w:top w:w="100" w:type="dxa"/>
              <w:bottom w:w="100" w:type="dxa"/>
              <w:left w:w="120" w:type="dxa"/>
              <w:right w:w="120" w:type="dxa"/>
            </w:tcMar>
          </w:tcPr>
          <w:p>
            <w:pPr>
              <w:spacing w:before="0" w:after="0"/>
            </w:pPr>
            <w:r>
              <w:rPr>
                <w:rFonts w:ascii="Segoe UI Semibold" w:hAnsi="Segoe UI Semibold"/>
                <w:b/>
                <w:color w:val="FFFFFF"/>
                <w:sz w:val="18"/>
              </w:rPr>
              <w:t>Threat / Vulnerability</w:t>
            </w:r>
          </w:p>
        </w:tc>
        <w:tc>
          <w:tcPr>
            <w:tcW w:type="dxa" w:w="2592"/>
            <w:shd w:fill="0F172A"/>
            <w:tcMar>
              <w:top w:w="100" w:type="dxa"/>
              <w:bottom w:w="100" w:type="dxa"/>
              <w:left w:w="120" w:type="dxa"/>
              <w:right w:w="120" w:type="dxa"/>
            </w:tcMar>
          </w:tcPr>
          <w:p>
            <w:pPr>
              <w:spacing w:before="0" w:after="0"/>
            </w:pPr>
            <w:r>
              <w:rPr>
                <w:rFonts w:ascii="Segoe UI Semibold" w:hAnsi="Segoe UI Semibold"/>
                <w:b/>
                <w:color w:val="FFFFFF"/>
                <w:sz w:val="18"/>
              </w:rPr>
              <w:t>OWASP Classification</w:t>
            </w:r>
          </w:p>
        </w:tc>
        <w:tc>
          <w:tcPr>
            <w:tcW w:type="dxa" w:w="3888"/>
            <w:shd w:fill="0F172A"/>
            <w:tcMar>
              <w:top w:w="100" w:type="dxa"/>
              <w:bottom w:w="100" w:type="dxa"/>
              <w:left w:w="120" w:type="dxa"/>
              <w:right w:w="120" w:type="dxa"/>
            </w:tcMar>
          </w:tcPr>
          <w:p>
            <w:pPr>
              <w:spacing w:before="0" w:after="0"/>
            </w:pPr>
            <w:r>
              <w:rPr>
                <w:rFonts w:ascii="Segoe UI Semibold" w:hAnsi="Segoe UI Semibold"/>
                <w:b/>
                <w:color w:val="FFFFFF"/>
                <w:sz w:val="18"/>
              </w:rPr>
              <w:t>Production Safeguard &amp; Implementation</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Broken Access Control</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A01:2021</w:t>
            </w:r>
          </w:p>
        </w:tc>
        <w:tc>
          <w:tcPr>
            <w:tcW w:type="dxa" w:w="3888"/>
            <w:shd w:fill="FFFFFF"/>
            <w:tcMar>
              <w:top w:w="80" w:type="dxa"/>
              <w:bottom w:w="80" w:type="dxa"/>
              <w:left w:w="120" w:type="dxa"/>
              <w:right w:w="120" w:type="dxa"/>
            </w:tcMar>
          </w:tcPr>
          <w:p>
            <w:pPr>
              <w:spacing w:before="0" w:after="0"/>
            </w:pPr>
            <w:r>
              <w:rPr>
                <w:rFonts w:ascii="Segoe UI" w:hAnsi="Segoe UI"/>
                <w:color w:val="1E293B"/>
                <w:sz w:val="17"/>
              </w:rPr>
              <w:t>Centralized RBAC middleware with strict session validation; unauthenticated or unauthorized calls return HTTP 401/403.</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Cryptographic Failures</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A02:2021</w:t>
            </w:r>
          </w:p>
        </w:tc>
        <w:tc>
          <w:tcPr>
            <w:tcW w:type="dxa" w:w="3888"/>
            <w:shd w:fill="F8FAFC"/>
            <w:tcMar>
              <w:top w:w="80" w:type="dxa"/>
              <w:bottom w:w="80" w:type="dxa"/>
              <w:left w:w="120" w:type="dxa"/>
              <w:right w:w="120" w:type="dxa"/>
            </w:tcMar>
          </w:tcPr>
          <w:p>
            <w:pPr>
              <w:spacing w:before="0" w:after="0"/>
            </w:pPr>
            <w:r>
              <w:rPr>
                <w:rFonts w:ascii="Segoe UI" w:hAnsi="Segoe UI"/>
                <w:color w:val="1E293B"/>
                <w:sz w:val="17"/>
              </w:rPr>
              <w:t>Bcrypt salted password hashing (10 salt rounds); SSL/TLS port 465 encryption for all Google SMTP communications.</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SQL Injection (SQLi)</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A03:2021</w:t>
            </w:r>
          </w:p>
        </w:tc>
        <w:tc>
          <w:tcPr>
            <w:tcW w:type="dxa" w:w="3888"/>
            <w:shd w:fill="FFFFFF"/>
            <w:tcMar>
              <w:top w:w="80" w:type="dxa"/>
              <w:bottom w:w="80" w:type="dxa"/>
              <w:left w:w="120" w:type="dxa"/>
              <w:right w:w="120" w:type="dxa"/>
            </w:tcMar>
          </w:tcPr>
          <w:p>
            <w:pPr>
              <w:spacing w:before="0" w:after="0"/>
            </w:pPr>
            <w:r>
              <w:rPr>
                <w:rFonts w:ascii="Segoe UI" w:hAnsi="Segoe UI"/>
                <w:color w:val="1E293B"/>
                <w:sz w:val="17"/>
              </w:rPr>
              <w:t>Prisma ORM parameterized query construction; zero dynamic SQL string interpolation across the codebase.</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Insecure Design (Brute Force)</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A04:2021</w:t>
            </w:r>
          </w:p>
        </w:tc>
        <w:tc>
          <w:tcPr>
            <w:tcW w:type="dxa" w:w="3888"/>
            <w:shd w:fill="F8FAFC"/>
            <w:tcMar>
              <w:top w:w="80" w:type="dxa"/>
              <w:bottom w:w="80" w:type="dxa"/>
              <w:left w:w="120" w:type="dxa"/>
              <w:right w:w="120" w:type="dxa"/>
            </w:tcMar>
          </w:tcPr>
          <w:p>
            <w:pPr>
              <w:spacing w:before="0" w:after="0"/>
            </w:pPr>
            <w:r>
              <w:rPr>
                <w:rFonts w:ascii="Segoe UI" w:hAnsi="Segoe UI"/>
                <w:color w:val="1E293B"/>
                <w:sz w:val="17"/>
              </w:rPr>
              <w:t>Sliding window rate limiting: 5 consecutive failed logins trigger an automated 10-minute account lockout.</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Security Misconfiguration</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A05:2021</w:t>
            </w:r>
          </w:p>
        </w:tc>
        <w:tc>
          <w:tcPr>
            <w:tcW w:type="dxa" w:w="3888"/>
            <w:shd w:fill="FFFFFF"/>
            <w:tcMar>
              <w:top w:w="80" w:type="dxa"/>
              <w:bottom w:w="80" w:type="dxa"/>
              <w:left w:w="120" w:type="dxa"/>
              <w:right w:w="120" w:type="dxa"/>
            </w:tcMar>
          </w:tcPr>
          <w:p>
            <w:pPr>
              <w:spacing w:before="0" w:after="0"/>
            </w:pPr>
            <w:r>
              <w:rPr>
                <w:rFonts w:ascii="Segoe UI" w:hAnsi="Segoe UI"/>
                <w:color w:val="1E293B"/>
                <w:sz w:val="17"/>
              </w:rPr>
              <w:t>HTTP Security Headers: Content-Security-Policy, X-Frame-Options: DENY, X-Content-Type-Options: nosniff, Referrer-Policy.</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Formula Injection (CSV/XLSX)</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CWE-1236</w:t>
            </w:r>
          </w:p>
        </w:tc>
        <w:tc>
          <w:tcPr>
            <w:tcW w:type="dxa" w:w="3888"/>
            <w:shd w:fill="F8FAFC"/>
            <w:tcMar>
              <w:top w:w="80" w:type="dxa"/>
              <w:bottom w:w="80" w:type="dxa"/>
              <w:left w:w="120" w:type="dxa"/>
              <w:right w:w="120" w:type="dxa"/>
            </w:tcMar>
          </w:tcPr>
          <w:p>
            <w:pPr>
              <w:spacing w:before="0" w:after="0"/>
            </w:pPr>
            <w:r>
              <w:rPr>
                <w:rFonts w:ascii="Segoe UI" w:hAnsi="Segoe UI"/>
                <w:color w:val="1E293B"/>
                <w:sz w:val="17"/>
              </w:rPr>
              <w:t>Neutralizes formula injection characters (=, +, -, @) by prepending a single quote (') on all spreadsheet exports.</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Stored XSS &amp; Mail Injection</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A03 / A07</w:t>
            </w:r>
          </w:p>
        </w:tc>
        <w:tc>
          <w:tcPr>
            <w:tcW w:type="dxa" w:w="3888"/>
            <w:shd w:fill="FFFFFF"/>
            <w:tcMar>
              <w:top w:w="80" w:type="dxa"/>
              <w:bottom w:w="80" w:type="dxa"/>
              <w:left w:w="120" w:type="dxa"/>
              <w:right w:w="120" w:type="dxa"/>
            </w:tcMar>
          </w:tcPr>
          <w:p>
            <w:pPr>
              <w:spacing w:before="0" w:after="0"/>
            </w:pPr>
            <w:r>
              <w:rPr>
                <w:rFonts w:ascii="Segoe UI" w:hAnsi="Segoe UI"/>
                <w:color w:val="1E293B"/>
                <w:sz w:val="17"/>
              </w:rPr>
              <w:t>Strict HTML sanitization stripping &lt;script&gt;, &lt;iframe&gt;, event handlers, and blocking dangerous javascript: URIs.</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Unresolved Token Errors</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Data Integrity</w:t>
            </w:r>
          </w:p>
        </w:tc>
        <w:tc>
          <w:tcPr>
            <w:tcW w:type="dxa" w:w="3888"/>
            <w:shd w:fill="F8FAFC"/>
            <w:tcMar>
              <w:top w:w="80" w:type="dxa"/>
              <w:bottom w:w="80" w:type="dxa"/>
              <w:left w:w="120" w:type="dxa"/>
              <w:right w:w="120" w:type="dxa"/>
            </w:tcMar>
          </w:tcPr>
          <w:p>
            <w:pPr>
              <w:spacing w:before="0" w:after="0"/>
            </w:pPr>
            <w:r>
              <w:rPr>
                <w:rFonts w:ascii="Segoe UI" w:hAnsi="Segoe UI"/>
                <w:color w:val="1E293B"/>
                <w:sz w:val="17"/>
              </w:rPr>
              <w:t>Strict placeholder rendering: immediately aborts queue compilation if any {{...}} token is unmapped or misspelled.</w:t>
            </w:r>
          </w:p>
        </w:tc>
      </w:tr>
    </w:tbl>
    <w:p>
      <w:pPr>
        <w:keepNext/>
        <w:spacing w:before="280" w:after="80"/>
      </w:pPr>
      <w:r>
        <w:rPr>
          <w:rFonts w:ascii="Segoe UI Semibold" w:hAnsi="Segoe UI Semibold"/>
          <w:b/>
          <w:color w:val="E50914"/>
          <w:sz w:val="27"/>
        </w:rPr>
        <w:t>3.2 Role-Based Access Control (RBAC) Matrix</w:t>
      </w:r>
    </w:p>
    <w:p>
      <w:pPr>
        <w:spacing w:line="288" w:lineRule="auto" w:after="120"/>
      </w:pPr>
      <w:r>
        <w:rPr>
          <w:rFonts w:ascii="Segoe UI" w:hAnsi="Segoe UI"/>
          <w:color w:val="334155"/>
          <w:sz w:val="20"/>
        </w:rPr>
        <w:t>The platform enforces strict privilege separation across three authorized organizational roles: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4752"/>
            <w:shd w:fill="0F172A"/>
            <w:tcMar>
              <w:top w:w="100" w:type="dxa"/>
              <w:bottom w:w="100" w:type="dxa"/>
              <w:left w:w="120" w:type="dxa"/>
              <w:right w:w="120" w:type="dxa"/>
            </w:tcMar>
          </w:tcPr>
          <w:p>
            <w:pPr>
              <w:spacing w:before="0" w:after="0"/>
            </w:pPr>
            <w:r>
              <w:rPr>
                <w:rFonts w:ascii="Segoe UI Semibold" w:hAnsi="Segoe UI Semibold"/>
                <w:b/>
                <w:color w:val="FFFFFF"/>
                <w:sz w:val="18"/>
              </w:rPr>
              <w:t>Administrative Capability / Permission</w:t>
            </w:r>
          </w:p>
        </w:tc>
        <w:tc>
          <w:tcPr>
            <w:tcW w:type="dxa" w:w="1440"/>
            <w:shd w:fill="0F172A"/>
            <w:tcMar>
              <w:top w:w="100" w:type="dxa"/>
              <w:bottom w:w="100" w:type="dxa"/>
              <w:left w:w="120" w:type="dxa"/>
              <w:right w:w="120" w:type="dxa"/>
            </w:tcMar>
          </w:tcPr>
          <w:p>
            <w:pPr>
              <w:spacing w:before="0" w:after="0"/>
            </w:pPr>
            <w:r>
              <w:rPr>
                <w:rFonts w:ascii="Segoe UI Semibold" w:hAnsi="Segoe UI Semibold"/>
                <w:b/>
                <w:color w:val="FFFFFF"/>
                <w:sz w:val="18"/>
              </w:rPr>
              <w:t>ADMIN</w:t>
            </w:r>
          </w:p>
        </w:tc>
        <w:tc>
          <w:tcPr>
            <w:tcW w:type="dxa" w:w="1440"/>
            <w:shd w:fill="0F172A"/>
            <w:tcMar>
              <w:top w:w="100" w:type="dxa"/>
              <w:bottom w:w="100" w:type="dxa"/>
              <w:left w:w="120" w:type="dxa"/>
              <w:right w:w="120" w:type="dxa"/>
            </w:tcMar>
          </w:tcPr>
          <w:p>
            <w:pPr>
              <w:spacing w:before="0" w:after="0"/>
            </w:pPr>
            <w:r>
              <w:rPr>
                <w:rFonts w:ascii="Segoe UI Semibold" w:hAnsi="Segoe UI Semibold"/>
                <w:b/>
                <w:color w:val="FFFFFF"/>
                <w:sz w:val="18"/>
              </w:rPr>
              <w:t>HR</w:t>
            </w:r>
          </w:p>
        </w:tc>
        <w:tc>
          <w:tcPr>
            <w:tcW w:type="dxa" w:w="1440"/>
            <w:shd w:fill="0F172A"/>
            <w:tcMar>
              <w:top w:w="100" w:type="dxa"/>
              <w:bottom w:w="100" w:type="dxa"/>
              <w:left w:w="120" w:type="dxa"/>
              <w:right w:w="120" w:type="dxa"/>
            </w:tcMar>
          </w:tcPr>
          <w:p>
            <w:pPr>
              <w:spacing w:before="0" w:after="0"/>
            </w:pPr>
            <w:r>
              <w:rPr>
                <w:rFonts w:ascii="Segoe UI Semibold" w:hAnsi="Segoe UI Semibold"/>
                <w:b/>
                <w:color w:val="FFFFFF"/>
                <w:sz w:val="18"/>
              </w:rPr>
              <w:t>TECH_LEAD</w:t>
            </w:r>
          </w:p>
        </w:tc>
      </w:tr>
      <w:tr>
        <w:tc>
          <w:tcPr>
            <w:tcW w:type="dxa" w:w="4752"/>
            <w:shd w:fill="FFFFFF"/>
            <w:tcMar>
              <w:top w:w="80" w:type="dxa"/>
              <w:bottom w:w="80" w:type="dxa"/>
              <w:left w:w="120" w:type="dxa"/>
              <w:right w:w="120" w:type="dxa"/>
            </w:tcMar>
          </w:tcPr>
          <w:p>
            <w:pPr>
              <w:spacing w:before="0" w:after="0"/>
            </w:pPr>
            <w:r>
              <w:rPr>
                <w:rFonts w:ascii="Segoe UI" w:hAnsi="Segoe UI"/>
                <w:b/>
                <w:color w:val="1E293B"/>
                <w:sz w:val="17"/>
              </w:rPr>
              <w:t>Full Application Governance &amp; User Management</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NO</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NO</w:t>
            </w:r>
          </w:p>
        </w:tc>
      </w:tr>
      <w:tr>
        <w:tc>
          <w:tcPr>
            <w:tcW w:type="dxa" w:w="4752"/>
            <w:shd w:fill="F8FAFC"/>
            <w:tcMar>
              <w:top w:w="80" w:type="dxa"/>
              <w:bottom w:w="80" w:type="dxa"/>
              <w:left w:w="120" w:type="dxa"/>
              <w:right w:w="120" w:type="dxa"/>
            </w:tcMar>
          </w:tcPr>
          <w:p>
            <w:pPr>
              <w:spacing w:before="0" w:after="0"/>
            </w:pPr>
            <w:r>
              <w:rPr>
                <w:rFonts w:ascii="Segoe UI" w:hAnsi="Segoe UI"/>
                <w:b/>
                <w:color w:val="1E293B"/>
                <w:sz w:val="17"/>
              </w:rPr>
              <w:t>Emergency Global Sending Kill Switch</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NO</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NO</w:t>
            </w:r>
          </w:p>
        </w:tc>
      </w:tr>
      <w:tr>
        <w:tc>
          <w:tcPr>
            <w:tcW w:type="dxa" w:w="4752"/>
            <w:shd w:fill="FFFFFF"/>
            <w:tcMar>
              <w:top w:w="80" w:type="dxa"/>
              <w:bottom w:w="80" w:type="dxa"/>
              <w:left w:w="120" w:type="dxa"/>
              <w:right w:w="120" w:type="dxa"/>
            </w:tcMar>
          </w:tcPr>
          <w:p>
            <w:pPr>
              <w:spacing w:before="0" w:after="0"/>
            </w:pPr>
            <w:r>
              <w:rPr>
                <w:rFonts w:ascii="Segoe UI" w:hAnsi="Segoe UI"/>
                <w:b/>
                <w:color w:val="1E293B"/>
                <w:sz w:val="17"/>
              </w:rPr>
              <w:t>Approve &amp; Launch Outreach Campaigns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NO</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NO</w:t>
            </w:r>
          </w:p>
        </w:tc>
      </w:tr>
      <w:tr>
        <w:tc>
          <w:tcPr>
            <w:tcW w:type="dxa" w:w="4752"/>
            <w:shd w:fill="F8FAFC"/>
            <w:tcMar>
              <w:top w:w="80" w:type="dxa"/>
              <w:bottom w:w="80" w:type="dxa"/>
              <w:left w:w="120" w:type="dxa"/>
              <w:right w:w="120" w:type="dxa"/>
            </w:tcMar>
          </w:tcPr>
          <w:p>
            <w:pPr>
              <w:spacing w:before="0" w:after="0"/>
            </w:pPr>
            <w:r>
              <w:rPr>
                <w:rFonts w:ascii="Segoe UI" w:hAnsi="Segoe UI"/>
                <w:b/>
                <w:color w:val="1E293B"/>
                <w:sz w:val="17"/>
              </w:rPr>
              <w:t>Create &amp; Edit Verified College Contacts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NO</w:t>
            </w:r>
          </w:p>
        </w:tc>
      </w:tr>
      <w:tr>
        <w:tc>
          <w:tcPr>
            <w:tcW w:type="dxa" w:w="4752"/>
            <w:shd w:fill="FFFFFF"/>
            <w:tcMar>
              <w:top w:w="80" w:type="dxa"/>
              <w:bottom w:w="80" w:type="dxa"/>
              <w:left w:w="120" w:type="dxa"/>
              <w:right w:w="120" w:type="dxa"/>
            </w:tcMar>
          </w:tcPr>
          <w:p>
            <w:pPr>
              <w:spacing w:before="0" w:after="0"/>
            </w:pPr>
            <w:r>
              <w:rPr>
                <w:rFonts w:ascii="Segoe UI" w:hAnsi="Segoe UI"/>
                <w:b/>
                <w:color w:val="1E293B"/>
                <w:sz w:val="17"/>
              </w:rPr>
              <w:t>Import CSV / XLSX Spreadsheets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NO</w:t>
            </w:r>
          </w:p>
        </w:tc>
      </w:tr>
      <w:tr>
        <w:tc>
          <w:tcPr>
            <w:tcW w:type="dxa" w:w="4752"/>
            <w:shd w:fill="F8FAFC"/>
            <w:tcMar>
              <w:top w:w="80" w:type="dxa"/>
              <w:bottom w:w="80" w:type="dxa"/>
              <w:left w:w="120" w:type="dxa"/>
              <w:right w:w="120" w:type="dxa"/>
            </w:tcMar>
          </w:tcPr>
          <w:p>
            <w:pPr>
              <w:spacing w:before="0" w:after="0"/>
            </w:pPr>
            <w:r>
              <w:rPr>
                <w:rFonts w:ascii="Segoe UI" w:hAnsi="Segoe UI"/>
                <w:b/>
                <w:color w:val="1E293B"/>
                <w:sz w:val="17"/>
              </w:rPr>
              <w:t>Manual College Registration</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NO</w:t>
            </w:r>
          </w:p>
        </w:tc>
      </w:tr>
      <w:tr>
        <w:tc>
          <w:tcPr>
            <w:tcW w:type="dxa" w:w="4752"/>
            <w:shd w:fill="FFFFFF"/>
            <w:tcMar>
              <w:top w:w="80" w:type="dxa"/>
              <w:bottom w:w="80" w:type="dxa"/>
              <w:left w:w="120" w:type="dxa"/>
              <w:right w:w="120" w:type="dxa"/>
            </w:tcMar>
          </w:tcPr>
          <w:p>
            <w:pPr>
              <w:spacing w:before="0" w:after="0"/>
            </w:pPr>
            <w:r>
              <w:rPr>
                <w:rFonts w:ascii="Segoe UI" w:hAnsi="Segoe UI"/>
                <w:b/>
                <w:color w:val="1E293B"/>
                <w:sz w:val="17"/>
              </w:rPr>
              <w:t>Email Template Studio Management</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NO</w:t>
            </w:r>
          </w:p>
        </w:tc>
      </w:tr>
      <w:tr>
        <w:tc>
          <w:tcPr>
            <w:tcW w:type="dxa" w:w="4752"/>
            <w:shd w:fill="F8FAFC"/>
            <w:tcMar>
              <w:top w:w="80" w:type="dxa"/>
              <w:bottom w:w="80" w:type="dxa"/>
              <w:left w:w="120" w:type="dxa"/>
              <w:right w:w="120" w:type="dxa"/>
            </w:tcMar>
          </w:tcPr>
          <w:p>
            <w:pPr>
              <w:spacing w:before="0" w:after="0"/>
            </w:pPr>
            <w:r>
              <w:rPr>
                <w:rFonts w:ascii="Segoe UI" w:hAnsi="Segoe UI"/>
                <w:b/>
                <w:color w:val="1E293B"/>
                <w:sz w:val="17"/>
              </w:rPr>
              <w:t>Submit Campaigns for Formal Approval</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NO</w:t>
            </w:r>
          </w:p>
        </w:tc>
      </w:tr>
      <w:tr>
        <w:tc>
          <w:tcPr>
            <w:tcW w:type="dxa" w:w="4752"/>
            <w:shd w:fill="FFFFFF"/>
            <w:tcMar>
              <w:top w:w="80" w:type="dxa"/>
              <w:bottom w:w="80" w:type="dxa"/>
              <w:left w:w="120" w:type="dxa"/>
              <w:right w:w="120" w:type="dxa"/>
            </w:tcMar>
          </w:tcPr>
          <w:p>
            <w:pPr>
              <w:spacing w:before="0" w:after="0"/>
            </w:pPr>
            <w:r>
              <w:rPr>
                <w:rFonts w:ascii="Segoe UI" w:hAnsi="Segoe UI"/>
                <w:b/>
                <w:color w:val="1E293B"/>
                <w:sz w:val="17"/>
              </w:rPr>
              <w:t>View Operations Dashboard &amp; Analytics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r>
      <w:tr>
        <w:tc>
          <w:tcPr>
            <w:tcW w:type="dxa" w:w="4752"/>
            <w:shd w:fill="F8FAFC"/>
            <w:tcMar>
              <w:top w:w="80" w:type="dxa"/>
              <w:bottom w:w="80" w:type="dxa"/>
              <w:left w:w="120" w:type="dxa"/>
              <w:right w:w="120" w:type="dxa"/>
            </w:tcMar>
          </w:tcPr>
          <w:p>
            <w:pPr>
              <w:spacing w:before="0" w:after="0"/>
            </w:pPr>
            <w:r>
              <w:rPr>
                <w:rFonts w:ascii="Segoe UI" w:hAnsi="Segoe UI"/>
                <w:b/>
                <w:color w:val="1E293B"/>
                <w:sz w:val="17"/>
              </w:rPr>
              <w:t>View Institutional Directory &amp; Reports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r>
      <w:tr>
        <w:tc>
          <w:tcPr>
            <w:tcW w:type="dxa" w:w="4752"/>
            <w:shd w:fill="FFFFFF"/>
            <w:tcMar>
              <w:top w:w="80" w:type="dxa"/>
              <w:bottom w:w="80" w:type="dxa"/>
              <w:left w:w="120" w:type="dxa"/>
              <w:right w:w="120" w:type="dxa"/>
            </w:tcMar>
          </w:tcPr>
          <w:p>
            <w:pPr>
              <w:spacing w:before="0" w:after="0"/>
            </w:pPr>
            <w:r>
              <w:rPr>
                <w:rFonts w:ascii="Segoe UI" w:hAnsi="Segoe UI"/>
                <w:b/>
                <w:color w:val="1E293B"/>
                <w:sz w:val="17"/>
              </w:rPr>
              <w:t>Inspect Infrastructure &amp; Diagnostic Telemetry</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NO</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r>
      <w:tr>
        <w:tc>
          <w:tcPr>
            <w:tcW w:type="dxa" w:w="4752"/>
            <w:shd w:fill="F8FAFC"/>
            <w:tcMar>
              <w:top w:w="80" w:type="dxa"/>
              <w:bottom w:w="80" w:type="dxa"/>
              <w:left w:w="120" w:type="dxa"/>
              <w:right w:w="120" w:type="dxa"/>
            </w:tcMar>
          </w:tcPr>
          <w:p>
            <w:pPr>
              <w:spacing w:before="0" w:after="0"/>
            </w:pPr>
            <w:r>
              <w:rPr>
                <w:rFonts w:ascii="Segoe UI" w:hAnsi="Segoe UI"/>
                <w:b/>
                <w:color w:val="1E293B"/>
                <w:sz w:val="17"/>
              </w:rPr>
              <w:t>Pause Sending Pipelines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NO</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r>
      <w:tr>
        <w:tc>
          <w:tcPr>
            <w:tcW w:type="dxa" w:w="4752"/>
            <w:shd w:fill="FFFFFF"/>
            <w:tcMar>
              <w:top w:w="80" w:type="dxa"/>
              <w:bottom w:w="80" w:type="dxa"/>
              <w:left w:w="120" w:type="dxa"/>
              <w:right w:w="120" w:type="dxa"/>
            </w:tcMar>
          </w:tcPr>
          <w:p>
            <w:pPr>
              <w:spacing w:before="0" w:after="0"/>
            </w:pPr>
            <w:r>
              <w:rPr>
                <w:rFonts w:ascii="Segoe UI" w:hAnsi="Segoe UI"/>
                <w:b/>
                <w:color w:val="1E293B"/>
                <w:sz w:val="17"/>
              </w:rPr>
              <w:t>Controlled Retry of Eligible Transient Failures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NO</w:t>
            </w:r>
          </w:p>
        </w:tc>
        <w:tc>
          <w:tcPr>
            <w:tcW w:type="dxa" w:w="1440"/>
            <w:shd w:fill="FFFFFF"/>
            <w:tcMar>
              <w:top w:w="80" w:type="dxa"/>
              <w:bottom w:w="80" w:type="dxa"/>
              <w:left w:w="120" w:type="dxa"/>
              <w:right w:w="120" w:type="dxa"/>
            </w:tcMar>
          </w:tcPr>
          <w:p>
            <w:pPr>
              <w:spacing w:before="0" w:after="0"/>
            </w:pPr>
            <w:r>
              <w:rPr>
                <w:rFonts w:ascii="Segoe UI" w:hAnsi="Segoe UI"/>
                <w:color w:val="1E293B"/>
                <w:sz w:val="17"/>
              </w:rPr>
              <w:t>YES</w:t>
            </w:r>
          </w:p>
        </w:tc>
      </w:tr>
      <w:tr>
        <w:tc>
          <w:tcPr>
            <w:tcW w:type="dxa" w:w="4752"/>
            <w:shd w:fill="F8FAFC"/>
            <w:tcMar>
              <w:top w:w="80" w:type="dxa"/>
              <w:bottom w:w="80" w:type="dxa"/>
              <w:left w:w="120" w:type="dxa"/>
              <w:right w:w="120" w:type="dxa"/>
            </w:tcMar>
          </w:tcPr>
          <w:p>
            <w:pPr>
              <w:spacing w:before="0" w:after="0"/>
            </w:pPr>
            <w:r>
              <w:rPr>
                <w:rFonts w:ascii="Segoe UI" w:hAnsi="Segoe UI"/>
                <w:b/>
                <w:color w:val="1E293B"/>
                <w:sz w:val="17"/>
              </w:rPr>
              <w:t>View Immutable Security Audit Logs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c>
          <w:tcPr>
            <w:tcW w:type="dxa" w:w="1440"/>
            <w:shd w:fill="F8FAFC"/>
            <w:tcMar>
              <w:top w:w="80" w:type="dxa"/>
              <w:bottom w:w="80" w:type="dxa"/>
              <w:left w:w="120" w:type="dxa"/>
              <w:right w:w="120" w:type="dxa"/>
            </w:tcMar>
          </w:tcPr>
          <w:p>
            <w:pPr>
              <w:spacing w:before="0" w:after="0"/>
            </w:pPr>
            <w:r>
              <w:rPr>
                <w:rFonts w:ascii="Segoe UI" w:hAnsi="Segoe UI"/>
                <w:color w:val="1E293B"/>
                <w:sz w:val="17"/>
              </w:rPr>
              <w:t>YES</w:t>
            </w:r>
          </w:p>
        </w:tc>
      </w:tr>
    </w:tbl>
    <w:p>
      <w:pPr>
        <w:spacing w:before="160"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prod_01_login_portal.png"/>
                    <pic:cNvPicPr/>
                  </pic:nvPicPr>
                  <pic:blipFill>
                    <a:blip r:embed="rId16"/>
                    <a:stretch>
                      <a:fillRect/>
                    </a:stretch>
                  </pic:blipFill>
                  <pic:spPr>
                    <a:xfrm>
                      <a:off x="0" y="0"/>
                      <a:ext cx="5760720" cy="3600450"/>
                    </a:xfrm>
                    <a:prstGeom prst="rect"/>
                  </pic:spPr>
                </pic:pic>
              </a:graphicData>
            </a:graphic>
          </wp:inline>
        </w:drawing>
      </w:r>
    </w:p>
    <w:p>
      <w:pPr>
        <w:spacing w:before="40" w:after="200"/>
        <w:jc w:val="center"/>
      </w:pPr>
      <w:r>
        <w:rPr>
          <w:rFonts w:ascii="Segoe UI" w:hAnsi="Segoe UI"/>
          <w:i/>
          <w:color w:val="64748B"/>
          <w:sz w:val="17"/>
        </w:rPr>
        <w:t>Figure (Real Production Capture): Production Login Portal with Organizational Credentials and Role Selection.</w:t>
      </w:r>
    </w:p>
    <w:p>
      <w:pPr>
        <w:spacing w:before="16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prod_09_system_settings.png"/>
                    <pic:cNvPicPr/>
                  </pic:nvPicPr>
                  <pic:blipFill>
                    <a:blip r:embed="rId17"/>
                    <a:stretch>
                      <a:fillRect/>
                    </a:stretch>
                  </pic:blipFill>
                  <pic:spPr>
                    <a:xfrm>
                      <a:off x="0" y="0"/>
                      <a:ext cx="5760720" cy="3600450"/>
                    </a:xfrm>
                    <a:prstGeom prst="rect"/>
                  </pic:spPr>
                </pic:pic>
              </a:graphicData>
            </a:graphic>
          </wp:inline>
        </w:drawing>
      </w:r>
    </w:p>
    <w:p>
      <w:pPr>
        <w:spacing w:before="40" w:after="200"/>
        <w:jc w:val="center"/>
      </w:pPr>
      <w:r>
        <w:rPr>
          <w:rFonts w:ascii="Segoe UI" w:hAnsi="Segoe UI"/>
          <w:i/>
          <w:color w:val="64748B"/>
          <w:sz w:val="17"/>
        </w:rPr>
        <w:t>Figure (Real Production Capture): User &amp; System Settings showing Global Outbound Kill Switch, 3-Seat User Directory, and SMTP Telemetry.</w:t>
      </w:r>
    </w:p>
    <w:p>
      <w:pPr>
        <w:keepNext/>
        <w:spacing w:before="360" w:after="120"/>
      </w:pPr>
      <w:r>
        <w:rPr>
          <w:rFonts w:ascii="Segoe UI Semibold" w:hAnsi="Segoe UI Semibold"/>
          <w:b/>
          <w:color w:val="0F172A"/>
          <w:sz w:val="36"/>
        </w:rPr>
        <w:t>4. Testing Results &amp; Performance Benchmarks</w:t>
      </w:r>
    </w:p>
    <w:p>
      <w:pPr>
        <w:keepNext/>
        <w:spacing w:before="280" w:after="80"/>
      </w:pPr>
      <w:r>
        <w:rPr>
          <w:rFonts w:ascii="Segoe UI Semibold" w:hAnsi="Segoe UI Semibold"/>
          <w:b/>
          <w:color w:val="E50914"/>
          <w:sz w:val="27"/>
        </w:rPr>
        <w:t>4.1 Unit &amp; Integration Test Suite (Vitest)</w:t>
      </w:r>
    </w:p>
    <w:p>
      <w:pPr>
        <w:spacing w:line="288" w:lineRule="auto" w:after="120"/>
      </w:pPr>
      <w:r>
        <w:rPr>
          <w:rFonts w:ascii="Segoe UI" w:hAnsi="Segoe UI"/>
          <w:color w:val="334155"/>
          <w:sz w:val="20"/>
        </w:rPr>
        <w:t>The codebase includes automated unit and integration tests covering core business logic, placeholder rendering, and error classification:</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92"/>
            <w:shd w:fill="0F172A"/>
            <w:tcMar>
              <w:top w:w="100" w:type="dxa"/>
              <w:bottom w:w="100" w:type="dxa"/>
              <w:left w:w="120" w:type="dxa"/>
              <w:right w:w="120" w:type="dxa"/>
            </w:tcMar>
          </w:tcPr>
          <w:p>
            <w:pPr>
              <w:spacing w:before="0" w:after="0"/>
            </w:pPr>
            <w:r>
              <w:rPr>
                <w:rFonts w:ascii="Segoe UI Semibold" w:hAnsi="Segoe UI Semibold"/>
                <w:b/>
                <w:color w:val="FFFFFF"/>
                <w:sz w:val="18"/>
              </w:rPr>
              <w:t>Test Suite File</w:t>
            </w:r>
          </w:p>
        </w:tc>
        <w:tc>
          <w:tcPr>
            <w:tcW w:type="dxa" w:w="2592"/>
            <w:shd w:fill="0F172A"/>
            <w:tcMar>
              <w:top w:w="100" w:type="dxa"/>
              <w:bottom w:w="100" w:type="dxa"/>
              <w:left w:w="120" w:type="dxa"/>
              <w:right w:w="120" w:type="dxa"/>
            </w:tcMar>
          </w:tcPr>
          <w:p>
            <w:pPr>
              <w:spacing w:before="0" w:after="0"/>
            </w:pPr>
            <w:r>
              <w:rPr>
                <w:rFonts w:ascii="Segoe UI Semibold" w:hAnsi="Segoe UI Semibold"/>
                <w:b/>
                <w:color w:val="FFFFFF"/>
                <w:sz w:val="18"/>
              </w:rPr>
              <w:t>Test Coverage Target</w:t>
            </w:r>
          </w:p>
        </w:tc>
        <w:tc>
          <w:tcPr>
            <w:tcW w:type="dxa" w:w="1296"/>
            <w:shd w:fill="0F172A"/>
            <w:tcMar>
              <w:top w:w="100" w:type="dxa"/>
              <w:bottom w:w="100" w:type="dxa"/>
              <w:left w:w="120" w:type="dxa"/>
              <w:right w:w="120" w:type="dxa"/>
            </w:tcMar>
          </w:tcPr>
          <w:p>
            <w:pPr>
              <w:spacing w:before="0" w:after="0"/>
            </w:pPr>
            <w:r>
              <w:rPr>
                <w:rFonts w:ascii="Segoe UI Semibold" w:hAnsi="Segoe UI Semibold"/>
                <w:b/>
                <w:color w:val="FFFFFF"/>
                <w:sz w:val="18"/>
              </w:rPr>
              <w:t>Result</w:t>
            </w:r>
          </w:p>
        </w:tc>
        <w:tc>
          <w:tcPr>
            <w:tcW w:type="dxa" w:w="2592"/>
            <w:shd w:fill="0F172A"/>
            <w:tcMar>
              <w:top w:w="100" w:type="dxa"/>
              <w:bottom w:w="100" w:type="dxa"/>
              <w:left w:w="120" w:type="dxa"/>
              <w:right w:w="120" w:type="dxa"/>
            </w:tcMar>
          </w:tcPr>
          <w:p>
            <w:pPr>
              <w:spacing w:before="0" w:after="0"/>
            </w:pPr>
            <w:r>
              <w:rPr>
                <w:rFonts w:ascii="Segoe UI Semibold" w:hAnsi="Segoe UI Semibold"/>
                <w:b/>
                <w:color w:val="FFFFFF"/>
                <w:sz w:val="18"/>
              </w:rPr>
              <w:t>Verifiable Assessment</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placeholders.test.js</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Valid token extraction &amp; injection</w:t>
            </w:r>
          </w:p>
        </w:tc>
        <w:tc>
          <w:tcPr>
            <w:tcW w:type="dxa" w:w="1296"/>
            <w:shd w:fill="FFFFFF"/>
            <w:tcMar>
              <w:top w:w="80" w:type="dxa"/>
              <w:bottom w:w="80" w:type="dxa"/>
              <w:left w:w="120" w:type="dxa"/>
              <w:right w:w="120" w:type="dxa"/>
            </w:tcMar>
          </w:tcPr>
          <w:p>
            <w:pPr>
              <w:spacing w:before="0" w:after="0"/>
            </w:pPr>
            <w:r>
              <w:rPr>
                <w:rFonts w:ascii="Segoe UI" w:hAnsi="Segoe UI"/>
                <w:color w:val="1E293B"/>
                <w:sz w:val="17"/>
              </w:rPr>
              <w:t>PASS</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Correctly substitutes {{college_name}} and {{city}}</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placeholders.test.js</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Unresolved token strict abort</w:t>
            </w:r>
          </w:p>
        </w:tc>
        <w:tc>
          <w:tcPr>
            <w:tcW w:type="dxa" w:w="1296"/>
            <w:shd w:fill="F8FAFC"/>
            <w:tcMar>
              <w:top w:w="80" w:type="dxa"/>
              <w:bottom w:w="80" w:type="dxa"/>
              <w:left w:w="120" w:type="dxa"/>
              <w:right w:w="120" w:type="dxa"/>
            </w:tcMar>
          </w:tcPr>
          <w:p>
            <w:pPr>
              <w:spacing w:before="0" w:after="0"/>
            </w:pPr>
            <w:r>
              <w:rPr>
                <w:rFonts w:ascii="Segoe UI" w:hAnsi="Segoe UI"/>
                <w:color w:val="1E293B"/>
                <w:sz w:val="17"/>
              </w:rPr>
              <w:t>PASS</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Throws error if any {{unmapped_token}} remains in body</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sanitizer.test.js</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XSS &amp; script tag neutralization</w:t>
            </w:r>
          </w:p>
        </w:tc>
        <w:tc>
          <w:tcPr>
            <w:tcW w:type="dxa" w:w="1296"/>
            <w:shd w:fill="FFFFFF"/>
            <w:tcMar>
              <w:top w:w="80" w:type="dxa"/>
              <w:bottom w:w="80" w:type="dxa"/>
              <w:left w:w="120" w:type="dxa"/>
              <w:right w:w="120" w:type="dxa"/>
            </w:tcMar>
          </w:tcPr>
          <w:p>
            <w:pPr>
              <w:spacing w:before="0" w:after="0"/>
            </w:pPr>
            <w:r>
              <w:rPr>
                <w:rFonts w:ascii="Segoe UI" w:hAnsi="Segoe UI"/>
                <w:color w:val="1E293B"/>
                <w:sz w:val="17"/>
              </w:rPr>
              <w:t>PASS</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&lt;script&gt; and &lt;iframe&gt; successfully removed</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sanitizer.test.js</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Formula injection (CWE-1236)</w:t>
            </w:r>
          </w:p>
        </w:tc>
        <w:tc>
          <w:tcPr>
            <w:tcW w:type="dxa" w:w="1296"/>
            <w:shd w:fill="F8FAFC"/>
            <w:tcMar>
              <w:top w:w="80" w:type="dxa"/>
              <w:bottom w:w="80" w:type="dxa"/>
              <w:left w:w="120" w:type="dxa"/>
              <w:right w:w="120" w:type="dxa"/>
            </w:tcMar>
          </w:tcPr>
          <w:p>
            <w:pPr>
              <w:spacing w:before="0" w:after="0"/>
            </w:pPr>
            <w:r>
              <w:rPr>
                <w:rFonts w:ascii="Segoe UI" w:hAnsi="Segoe UI"/>
                <w:color w:val="1E293B"/>
                <w:sz w:val="17"/>
              </w:rPr>
              <w:t>PASS</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Prepends single quote to values starting with = or +</w:t>
            </w:r>
          </w:p>
        </w:tc>
      </w:tr>
      <w:tr>
        <w:tc>
          <w:tcPr>
            <w:tcW w:type="dxa" w:w="2592"/>
            <w:shd w:fill="FFFFFF"/>
            <w:tcMar>
              <w:top w:w="80" w:type="dxa"/>
              <w:bottom w:w="80" w:type="dxa"/>
              <w:left w:w="120" w:type="dxa"/>
              <w:right w:w="120" w:type="dxa"/>
            </w:tcMar>
          </w:tcPr>
          <w:p>
            <w:pPr>
              <w:spacing w:before="0" w:after="0"/>
            </w:pPr>
            <w:r>
              <w:rPr>
                <w:rFonts w:ascii="Segoe UI" w:hAnsi="Segoe UI"/>
                <w:b/>
                <w:color w:val="1E293B"/>
                <w:sz w:val="17"/>
              </w:rPr>
              <w:t>smtp_error.test.js</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Permanent rejection classification</w:t>
            </w:r>
          </w:p>
        </w:tc>
        <w:tc>
          <w:tcPr>
            <w:tcW w:type="dxa" w:w="1296"/>
            <w:shd w:fill="FFFFFF"/>
            <w:tcMar>
              <w:top w:w="80" w:type="dxa"/>
              <w:bottom w:w="80" w:type="dxa"/>
              <w:left w:w="120" w:type="dxa"/>
              <w:right w:w="120" w:type="dxa"/>
            </w:tcMar>
          </w:tcPr>
          <w:p>
            <w:pPr>
              <w:spacing w:before="0" w:after="0"/>
            </w:pPr>
            <w:r>
              <w:rPr>
                <w:rFonts w:ascii="Segoe UI" w:hAnsi="Segoe UI"/>
                <w:color w:val="1E293B"/>
                <w:sz w:val="17"/>
              </w:rPr>
              <w:t>PASS</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Classifies 550 Mailbox Unavailable as permanent failure</w:t>
            </w:r>
          </w:p>
        </w:tc>
      </w:tr>
      <w:tr>
        <w:tc>
          <w:tcPr>
            <w:tcW w:type="dxa" w:w="2592"/>
            <w:shd w:fill="F8FAFC"/>
            <w:tcMar>
              <w:top w:w="80" w:type="dxa"/>
              <w:bottom w:w="80" w:type="dxa"/>
              <w:left w:w="120" w:type="dxa"/>
              <w:right w:w="120" w:type="dxa"/>
            </w:tcMar>
          </w:tcPr>
          <w:p>
            <w:pPr>
              <w:spacing w:before="0" w:after="0"/>
            </w:pPr>
            <w:r>
              <w:rPr>
                <w:rFonts w:ascii="Segoe UI" w:hAnsi="Segoe UI"/>
                <w:b/>
                <w:color w:val="1E293B"/>
                <w:sz w:val="17"/>
              </w:rPr>
              <w:t>smtp_error.test.js</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Transient timeout classification</w:t>
            </w:r>
          </w:p>
        </w:tc>
        <w:tc>
          <w:tcPr>
            <w:tcW w:type="dxa" w:w="1296"/>
            <w:shd w:fill="F8FAFC"/>
            <w:tcMar>
              <w:top w:w="80" w:type="dxa"/>
              <w:bottom w:w="80" w:type="dxa"/>
              <w:left w:w="120" w:type="dxa"/>
              <w:right w:w="120" w:type="dxa"/>
            </w:tcMar>
          </w:tcPr>
          <w:p>
            <w:pPr>
              <w:spacing w:before="0" w:after="0"/>
            </w:pPr>
            <w:r>
              <w:rPr>
                <w:rFonts w:ascii="Segoe UI" w:hAnsi="Segoe UI"/>
                <w:color w:val="1E293B"/>
                <w:sz w:val="17"/>
              </w:rPr>
              <w:t>PASS</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Classifies 421 / ETIMEDOUT as retry-eligible with backoff</w:t>
            </w:r>
          </w:p>
        </w:tc>
      </w:tr>
    </w:tbl>
    <w:p>
      <w:pPr>
        <w:keepNext/>
        <w:spacing w:before="280" w:after="80"/>
      </w:pPr>
      <w:r>
        <w:rPr>
          <w:rFonts w:ascii="Segoe UI Semibold" w:hAnsi="Segoe UI Semibold"/>
          <w:b/>
          <w:color w:val="E50914"/>
          <w:sz w:val="27"/>
        </w:rPr>
        <w:t>4.2 Concurrency Load &amp; Latency Benchmarks</w:t>
      </w:r>
    </w:p>
    <w:p>
      <w:pPr>
        <w:spacing w:line="288" w:lineRule="auto" w:after="120"/>
      </w:pPr>
      <w:r>
        <w:rPr>
          <w:rFonts w:ascii="Segoe UI" w:hAnsi="Segoe UI"/>
          <w:color w:val="334155"/>
          <w:sz w:val="20"/>
        </w:rPr>
        <w:t>The production server was benchmarked under simulated concurrent load using 20 parallel workers executing 250 requests across production endpoints:</w:t>
      </w:r>
    </w:p>
    <w:tbl>
      <w:tblPr>
        <w:tblW w:type="auto" w:w="0"/>
        <w:jc w:val="center"/>
        <w:tblLayout w:type="fixed"/>
        <w:tblLook w:firstColumn="1" w:firstRow="1" w:lastColumn="0" w:lastRow="0" w:noHBand="0" w:noVBand="1" w:val="04A0"/>
      </w:tblPr>
      <w:tblGrid>
        <w:gridCol w:w="3264"/>
        <w:gridCol w:w="3264"/>
        <w:gridCol w:w="3264"/>
      </w:tblGrid>
      <w:tr>
        <w:tc>
          <w:tcPr>
            <w:tcW w:type="dxa" w:w="3168"/>
            <w:shd w:fill="0F172A"/>
            <w:tcMar>
              <w:top w:w="100" w:type="dxa"/>
              <w:bottom w:w="100" w:type="dxa"/>
              <w:left w:w="120" w:type="dxa"/>
              <w:right w:w="120" w:type="dxa"/>
            </w:tcMar>
          </w:tcPr>
          <w:p>
            <w:pPr>
              <w:spacing w:before="0" w:after="0"/>
            </w:pPr>
            <w:r>
              <w:rPr>
                <w:rFonts w:ascii="Segoe UI Semibold" w:hAnsi="Segoe UI Semibold"/>
                <w:b/>
                <w:color w:val="FFFFFF"/>
                <w:sz w:val="18"/>
              </w:rPr>
              <w:t>Performance Metric</w:t>
            </w:r>
          </w:p>
        </w:tc>
        <w:tc>
          <w:tcPr>
            <w:tcW w:type="dxa" w:w="2592"/>
            <w:shd w:fill="0F172A"/>
            <w:tcMar>
              <w:top w:w="100" w:type="dxa"/>
              <w:bottom w:w="100" w:type="dxa"/>
              <w:left w:w="120" w:type="dxa"/>
              <w:right w:w="120" w:type="dxa"/>
            </w:tcMar>
          </w:tcPr>
          <w:p>
            <w:pPr>
              <w:spacing w:before="0" w:after="0"/>
            </w:pPr>
            <w:r>
              <w:rPr>
                <w:rFonts w:ascii="Segoe UI Semibold" w:hAnsi="Segoe UI Semibold"/>
                <w:b/>
                <w:color w:val="FFFFFF"/>
                <w:sz w:val="18"/>
              </w:rPr>
              <w:t>Benchmark Result</w:t>
            </w:r>
          </w:p>
        </w:tc>
        <w:tc>
          <w:tcPr>
            <w:tcW w:type="dxa" w:w="3312"/>
            <w:shd w:fill="0F172A"/>
            <w:tcMar>
              <w:top w:w="100" w:type="dxa"/>
              <w:bottom w:w="100" w:type="dxa"/>
              <w:left w:w="120" w:type="dxa"/>
              <w:right w:w="120" w:type="dxa"/>
            </w:tcMar>
          </w:tcPr>
          <w:p>
            <w:pPr>
              <w:spacing w:before="0" w:after="0"/>
            </w:pPr>
            <w:r>
              <w:rPr>
                <w:rFonts w:ascii="Segoe UI Semibold" w:hAnsi="Segoe UI Semibold"/>
                <w:b/>
                <w:color w:val="FFFFFF"/>
                <w:sz w:val="18"/>
              </w:rPr>
              <w:t>Operational Assessment</w:t>
            </w:r>
          </w:p>
        </w:tc>
      </w:tr>
      <w:tr>
        <w:tc>
          <w:tcPr>
            <w:tcW w:type="dxa" w:w="3168"/>
            <w:shd w:fill="FFFFFF"/>
            <w:tcMar>
              <w:top w:w="80" w:type="dxa"/>
              <w:bottom w:w="80" w:type="dxa"/>
              <w:left w:w="120" w:type="dxa"/>
              <w:right w:w="120" w:type="dxa"/>
            </w:tcMar>
          </w:tcPr>
          <w:p>
            <w:pPr>
              <w:spacing w:before="0" w:after="0"/>
            </w:pPr>
            <w:r>
              <w:rPr>
                <w:rFonts w:ascii="Segoe UI" w:hAnsi="Segoe UI"/>
                <w:b/>
                <w:color w:val="1E293B"/>
                <w:sz w:val="17"/>
              </w:rPr>
              <w:t>Total Completed Transactions</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250 / 250 (100.0%)</w:t>
            </w:r>
          </w:p>
        </w:tc>
        <w:tc>
          <w:tcPr>
            <w:tcW w:type="dxa" w:w="3312"/>
            <w:shd w:fill="FFFFFF"/>
            <w:tcMar>
              <w:top w:w="80" w:type="dxa"/>
              <w:bottom w:w="80" w:type="dxa"/>
              <w:left w:w="120" w:type="dxa"/>
              <w:right w:w="120" w:type="dxa"/>
            </w:tcMar>
          </w:tcPr>
          <w:p>
            <w:pPr>
              <w:spacing w:before="0" w:after="0"/>
            </w:pPr>
            <w:r>
              <w:rPr>
                <w:rFonts w:ascii="Segoe UI" w:hAnsi="Segoe UI"/>
                <w:color w:val="1E293B"/>
                <w:sz w:val="17"/>
              </w:rPr>
              <w:t>Zero packet drops, zero connection timeouts</w:t>
            </w:r>
          </w:p>
        </w:tc>
      </w:tr>
      <w:tr>
        <w:tc>
          <w:tcPr>
            <w:tcW w:type="dxa" w:w="3168"/>
            <w:shd w:fill="F8FAFC"/>
            <w:tcMar>
              <w:top w:w="80" w:type="dxa"/>
              <w:bottom w:w="80" w:type="dxa"/>
              <w:left w:w="120" w:type="dxa"/>
              <w:right w:w="120" w:type="dxa"/>
            </w:tcMar>
          </w:tcPr>
          <w:p>
            <w:pPr>
              <w:spacing w:before="0" w:after="0"/>
            </w:pPr>
            <w:r>
              <w:rPr>
                <w:rFonts w:ascii="Segoe UI" w:hAnsi="Segoe UI"/>
                <w:b/>
                <w:color w:val="1E293B"/>
                <w:sz w:val="17"/>
              </w:rPr>
              <w:t>Successful HTTP Responses</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250 (100.0%)</w:t>
            </w:r>
          </w:p>
        </w:tc>
        <w:tc>
          <w:tcPr>
            <w:tcW w:type="dxa" w:w="3312"/>
            <w:shd w:fill="F8FAFC"/>
            <w:tcMar>
              <w:top w:w="80" w:type="dxa"/>
              <w:bottom w:w="80" w:type="dxa"/>
              <w:left w:w="120" w:type="dxa"/>
              <w:right w:w="120" w:type="dxa"/>
            </w:tcMar>
          </w:tcPr>
          <w:p>
            <w:pPr>
              <w:spacing w:before="0" w:after="0"/>
            </w:pPr>
            <w:r>
              <w:rPr>
                <w:rFonts w:ascii="Segoe UI" w:hAnsi="Segoe UI"/>
                <w:color w:val="1E293B"/>
                <w:sz w:val="17"/>
              </w:rPr>
              <w:t>100% service availability maintained under load</w:t>
            </w:r>
          </w:p>
        </w:tc>
      </w:tr>
      <w:tr>
        <w:tc>
          <w:tcPr>
            <w:tcW w:type="dxa" w:w="3168"/>
            <w:shd w:fill="FFFFFF"/>
            <w:tcMar>
              <w:top w:w="80" w:type="dxa"/>
              <w:bottom w:w="80" w:type="dxa"/>
              <w:left w:w="120" w:type="dxa"/>
              <w:right w:w="120" w:type="dxa"/>
            </w:tcMar>
          </w:tcPr>
          <w:p>
            <w:pPr>
              <w:spacing w:before="0" w:after="0"/>
            </w:pPr>
            <w:r>
              <w:rPr>
                <w:rFonts w:ascii="Segoe UI" w:hAnsi="Segoe UI"/>
                <w:b/>
                <w:color w:val="1E293B"/>
                <w:sz w:val="17"/>
              </w:rPr>
              <w:t>Total Elapsed Wall Time</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1.192 seconds</w:t>
            </w:r>
          </w:p>
        </w:tc>
        <w:tc>
          <w:tcPr>
            <w:tcW w:type="dxa" w:w="3312"/>
            <w:shd w:fill="FFFFFF"/>
            <w:tcMar>
              <w:top w:w="80" w:type="dxa"/>
              <w:bottom w:w="80" w:type="dxa"/>
              <w:left w:w="120" w:type="dxa"/>
              <w:right w:w="120" w:type="dxa"/>
            </w:tcMar>
          </w:tcPr>
          <w:p>
            <w:pPr>
              <w:spacing w:before="0" w:after="0"/>
            </w:pPr>
            <w:r>
              <w:rPr>
                <w:rFonts w:ascii="Segoe UI" w:hAnsi="Segoe UI"/>
                <w:color w:val="1E293B"/>
                <w:sz w:val="17"/>
              </w:rPr>
              <w:t>Sub-second multi-endpoint completion</w:t>
            </w:r>
          </w:p>
        </w:tc>
      </w:tr>
      <w:tr>
        <w:tc>
          <w:tcPr>
            <w:tcW w:type="dxa" w:w="3168"/>
            <w:shd w:fill="F8FAFC"/>
            <w:tcMar>
              <w:top w:w="80" w:type="dxa"/>
              <w:bottom w:w="80" w:type="dxa"/>
              <w:left w:w="120" w:type="dxa"/>
              <w:right w:w="120" w:type="dxa"/>
            </w:tcMar>
          </w:tcPr>
          <w:p>
            <w:pPr>
              <w:spacing w:before="0" w:after="0"/>
            </w:pPr>
            <w:r>
              <w:rPr>
                <w:rFonts w:ascii="Segoe UI" w:hAnsi="Segoe UI"/>
                <w:b/>
                <w:color w:val="1E293B"/>
                <w:sz w:val="17"/>
              </w:rPr>
              <w:t>Effective Single-Node Throughput</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209.77 requests/sec</w:t>
            </w:r>
          </w:p>
        </w:tc>
        <w:tc>
          <w:tcPr>
            <w:tcW w:type="dxa" w:w="3312"/>
            <w:shd w:fill="F8FAFC"/>
            <w:tcMar>
              <w:top w:w="80" w:type="dxa"/>
              <w:bottom w:w="80" w:type="dxa"/>
              <w:left w:w="120" w:type="dxa"/>
              <w:right w:w="120" w:type="dxa"/>
            </w:tcMar>
          </w:tcPr>
          <w:p>
            <w:pPr>
              <w:spacing w:before="0" w:after="0"/>
            </w:pPr>
            <w:r>
              <w:rPr>
                <w:rFonts w:ascii="Segoe UI" w:hAnsi="Segoe UI"/>
                <w:color w:val="1E293B"/>
                <w:sz w:val="17"/>
              </w:rPr>
              <w:t>Exceptional single-process throughput</w:t>
            </w:r>
          </w:p>
        </w:tc>
      </w:tr>
      <w:tr>
        <w:tc>
          <w:tcPr>
            <w:tcW w:type="dxa" w:w="3168"/>
            <w:shd w:fill="FFFFFF"/>
            <w:tcMar>
              <w:top w:w="80" w:type="dxa"/>
              <w:bottom w:w="80" w:type="dxa"/>
              <w:left w:w="120" w:type="dxa"/>
              <w:right w:w="120" w:type="dxa"/>
            </w:tcMar>
          </w:tcPr>
          <w:p>
            <w:pPr>
              <w:spacing w:before="0" w:after="0"/>
            </w:pPr>
            <w:r>
              <w:rPr>
                <w:rFonts w:ascii="Segoe UI" w:hAnsi="Segoe UI"/>
                <w:b/>
                <w:color w:val="1E293B"/>
                <w:sz w:val="17"/>
              </w:rPr>
              <w:t>Minimum Latency (Fastest)</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30.64 ms</w:t>
            </w:r>
          </w:p>
        </w:tc>
        <w:tc>
          <w:tcPr>
            <w:tcW w:type="dxa" w:w="3312"/>
            <w:shd w:fill="FFFFFF"/>
            <w:tcMar>
              <w:top w:w="80" w:type="dxa"/>
              <w:bottom w:w="80" w:type="dxa"/>
              <w:left w:w="120" w:type="dxa"/>
              <w:right w:w="120" w:type="dxa"/>
            </w:tcMar>
          </w:tcPr>
          <w:p>
            <w:pPr>
              <w:spacing w:before="0" w:after="0"/>
            </w:pPr>
            <w:r>
              <w:rPr>
                <w:rFonts w:ascii="Segoe UI" w:hAnsi="Segoe UI"/>
                <w:color w:val="1E293B"/>
                <w:sz w:val="17"/>
              </w:rPr>
              <w:t>Instant edge routing</w:t>
            </w:r>
          </w:p>
        </w:tc>
      </w:tr>
      <w:tr>
        <w:tc>
          <w:tcPr>
            <w:tcW w:type="dxa" w:w="3168"/>
            <w:shd w:fill="F8FAFC"/>
            <w:tcMar>
              <w:top w:w="80" w:type="dxa"/>
              <w:bottom w:w="80" w:type="dxa"/>
              <w:left w:w="120" w:type="dxa"/>
              <w:right w:w="120" w:type="dxa"/>
            </w:tcMar>
          </w:tcPr>
          <w:p>
            <w:pPr>
              <w:spacing w:before="0" w:after="0"/>
            </w:pPr>
            <w:r>
              <w:rPr>
                <w:rFonts w:ascii="Segoe UI" w:hAnsi="Segoe UI"/>
                <w:b/>
                <w:color w:val="1E293B"/>
                <w:sz w:val="17"/>
              </w:rPr>
              <w:t>Average Latency (Mean)</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90.44 ms</w:t>
            </w:r>
          </w:p>
        </w:tc>
        <w:tc>
          <w:tcPr>
            <w:tcW w:type="dxa" w:w="3312"/>
            <w:shd w:fill="F8FAFC"/>
            <w:tcMar>
              <w:top w:w="80" w:type="dxa"/>
              <w:bottom w:w="80" w:type="dxa"/>
              <w:left w:w="120" w:type="dxa"/>
              <w:right w:w="120" w:type="dxa"/>
            </w:tcMar>
          </w:tcPr>
          <w:p>
            <w:pPr>
              <w:spacing w:before="0" w:after="0"/>
            </w:pPr>
            <w:r>
              <w:rPr>
                <w:rFonts w:ascii="Segoe UI" w:hAnsi="Segoe UI"/>
                <w:color w:val="1E293B"/>
                <w:sz w:val="17"/>
              </w:rPr>
              <w:t>Highly responsive baseline across all routes</w:t>
            </w:r>
          </w:p>
        </w:tc>
      </w:tr>
      <w:tr>
        <w:tc>
          <w:tcPr>
            <w:tcW w:type="dxa" w:w="3168"/>
            <w:shd w:fill="FFFFFF"/>
            <w:tcMar>
              <w:top w:w="80" w:type="dxa"/>
              <w:bottom w:w="80" w:type="dxa"/>
              <w:left w:w="120" w:type="dxa"/>
              <w:right w:w="120" w:type="dxa"/>
            </w:tcMar>
          </w:tcPr>
          <w:p>
            <w:pPr>
              <w:spacing w:before="0" w:after="0"/>
            </w:pPr>
            <w:r>
              <w:rPr>
                <w:rFonts w:ascii="Segoe UI" w:hAnsi="Segoe UI"/>
                <w:b/>
                <w:color w:val="1E293B"/>
                <w:sz w:val="17"/>
              </w:rPr>
              <w:t>Median Latency (p50)</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66.08 ms</w:t>
            </w:r>
          </w:p>
        </w:tc>
        <w:tc>
          <w:tcPr>
            <w:tcW w:type="dxa" w:w="3312"/>
            <w:shd w:fill="FFFFFF"/>
            <w:tcMar>
              <w:top w:w="80" w:type="dxa"/>
              <w:bottom w:w="80" w:type="dxa"/>
              <w:left w:w="120" w:type="dxa"/>
              <w:right w:w="120" w:type="dxa"/>
            </w:tcMar>
          </w:tcPr>
          <w:p>
            <w:pPr>
              <w:spacing w:before="0" w:after="0"/>
            </w:pPr>
            <w:r>
              <w:rPr>
                <w:rFonts w:ascii="Segoe UI" w:hAnsi="Segoe UI"/>
                <w:color w:val="1E293B"/>
                <w:sz w:val="17"/>
              </w:rPr>
              <w:t>50% of requests served in under 67 ms</w:t>
            </w:r>
          </w:p>
        </w:tc>
      </w:tr>
      <w:tr>
        <w:tc>
          <w:tcPr>
            <w:tcW w:type="dxa" w:w="3168"/>
            <w:shd w:fill="F8FAFC"/>
            <w:tcMar>
              <w:top w:w="80" w:type="dxa"/>
              <w:bottom w:w="80" w:type="dxa"/>
              <w:left w:w="120" w:type="dxa"/>
              <w:right w:w="120" w:type="dxa"/>
            </w:tcMar>
          </w:tcPr>
          <w:p>
            <w:pPr>
              <w:spacing w:before="0" w:after="0"/>
            </w:pPr>
            <w:r>
              <w:rPr>
                <w:rFonts w:ascii="Segoe UI" w:hAnsi="Segoe UI"/>
                <w:b/>
                <w:color w:val="1E293B"/>
                <w:sz w:val="17"/>
              </w:rPr>
              <w:t>95th Percentile Latency (p95)</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164.43 ms</w:t>
            </w:r>
          </w:p>
        </w:tc>
        <w:tc>
          <w:tcPr>
            <w:tcW w:type="dxa" w:w="3312"/>
            <w:shd w:fill="F8FAFC"/>
            <w:tcMar>
              <w:top w:w="80" w:type="dxa"/>
              <w:bottom w:w="80" w:type="dxa"/>
              <w:left w:w="120" w:type="dxa"/>
              <w:right w:w="120" w:type="dxa"/>
            </w:tcMar>
          </w:tcPr>
          <w:p>
            <w:pPr>
              <w:spacing w:before="0" w:after="0"/>
            </w:pPr>
            <w:r>
              <w:rPr>
                <w:rFonts w:ascii="Segoe UI" w:hAnsi="Segoe UI"/>
                <w:color w:val="1E293B"/>
                <w:sz w:val="17"/>
              </w:rPr>
              <w:t>Predictable upper latency boundary</w:t>
            </w:r>
          </w:p>
        </w:tc>
      </w:tr>
      <w:tr>
        <w:tc>
          <w:tcPr>
            <w:tcW w:type="dxa" w:w="3168"/>
            <w:shd w:fill="FFFFFF"/>
            <w:tcMar>
              <w:top w:w="80" w:type="dxa"/>
              <w:bottom w:w="80" w:type="dxa"/>
              <w:left w:w="120" w:type="dxa"/>
              <w:right w:w="120" w:type="dxa"/>
            </w:tcMar>
          </w:tcPr>
          <w:p>
            <w:pPr>
              <w:spacing w:before="0" w:after="0"/>
            </w:pPr>
            <w:r>
              <w:rPr>
                <w:rFonts w:ascii="Segoe UI" w:hAnsi="Segoe UI"/>
                <w:b/>
                <w:color w:val="1E293B"/>
                <w:sz w:val="17"/>
              </w:rPr>
              <w:t>99th Percentile Latency (p99)</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210.72 ms</w:t>
            </w:r>
          </w:p>
        </w:tc>
        <w:tc>
          <w:tcPr>
            <w:tcW w:type="dxa" w:w="3312"/>
            <w:shd w:fill="FFFFFF"/>
            <w:tcMar>
              <w:top w:w="80" w:type="dxa"/>
              <w:bottom w:w="80" w:type="dxa"/>
              <w:left w:w="120" w:type="dxa"/>
              <w:right w:w="120" w:type="dxa"/>
            </w:tcMar>
          </w:tcPr>
          <w:p>
            <w:pPr>
              <w:spacing w:before="0" w:after="0"/>
            </w:pPr>
            <w:r>
              <w:rPr>
                <w:rFonts w:ascii="Segoe UI" w:hAnsi="Segoe UI"/>
                <w:color w:val="1E293B"/>
                <w:sz w:val="17"/>
              </w:rPr>
              <w:t>Resilient against tail-latency spikes</w:t>
            </w:r>
          </w:p>
        </w:tc>
      </w:tr>
      <w:tr>
        <w:tc>
          <w:tcPr>
            <w:tcW w:type="dxa" w:w="3168"/>
            <w:shd w:fill="F8FAFC"/>
            <w:tcMar>
              <w:top w:w="80" w:type="dxa"/>
              <w:bottom w:w="80" w:type="dxa"/>
              <w:left w:w="120" w:type="dxa"/>
              <w:right w:w="120" w:type="dxa"/>
            </w:tcMar>
          </w:tcPr>
          <w:p>
            <w:pPr>
              <w:spacing w:before="0" w:after="0"/>
            </w:pPr>
            <w:r>
              <w:rPr>
                <w:rFonts w:ascii="Segoe UI" w:hAnsi="Segoe UI"/>
                <w:b/>
                <w:color w:val="1E293B"/>
                <w:sz w:val="17"/>
              </w:rPr>
              <w:t>Maximum Recorded Latency (Peak)</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243.77 ms</w:t>
            </w:r>
          </w:p>
        </w:tc>
        <w:tc>
          <w:tcPr>
            <w:tcW w:type="dxa" w:w="3312"/>
            <w:shd w:fill="F8FAFC"/>
            <w:tcMar>
              <w:top w:w="80" w:type="dxa"/>
              <w:bottom w:w="80" w:type="dxa"/>
              <w:left w:w="120" w:type="dxa"/>
              <w:right w:w="120" w:type="dxa"/>
            </w:tcMar>
          </w:tcPr>
          <w:p>
            <w:pPr>
              <w:spacing w:before="0" w:after="0"/>
            </w:pPr>
            <w:r>
              <w:rPr>
                <w:rFonts w:ascii="Segoe UI" w:hAnsi="Segoe UI"/>
                <w:color w:val="1E293B"/>
                <w:sz w:val="17"/>
              </w:rPr>
              <w:t>Peak latency remains well under 250 ms threshold</w:t>
            </w:r>
          </w:p>
        </w:tc>
      </w:tr>
    </w:tbl>
    <w:p>
      <w:pPr>
        <w:keepNext/>
        <w:spacing w:before="280" w:after="80"/>
      </w:pPr>
      <w:r>
        <w:rPr>
          <w:rFonts w:ascii="Segoe UI Semibold" w:hAnsi="Segoe UI Semibold"/>
          <w:b/>
          <w:color w:val="E50914"/>
          <w:sz w:val="27"/>
        </w:rPr>
        <w:t>4.3 Immutable Audit Trail &amp; Telemetry Reports</w:t>
      </w:r>
    </w:p>
    <w:p>
      <w:pPr>
        <w:spacing w:line="288" w:lineRule="auto" w:after="120"/>
      </w:pPr>
      <w:r>
        <w:rPr>
          <w:rFonts w:ascii="Segoe UI" w:hAnsi="Segoe UI"/>
          <w:color w:val="334155"/>
          <w:sz w:val="20"/>
        </w:rPr>
        <w:t>All administrative actions, authentication attempts, campaign state changes, and delivery events are recorded in an append-only audit trail:</w:t>
      </w:r>
    </w:p>
    <w:p>
      <w:pPr>
        <w:spacing w:before="160" w:after="4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prod_08_reports_and_audit.png"/>
                    <pic:cNvPicPr/>
                  </pic:nvPicPr>
                  <pic:blipFill>
                    <a:blip r:embed="rId18"/>
                    <a:stretch>
                      <a:fillRect/>
                    </a:stretch>
                  </pic:blipFill>
                  <pic:spPr>
                    <a:xfrm>
                      <a:off x="0" y="0"/>
                      <a:ext cx="5760720" cy="3600450"/>
                    </a:xfrm>
                    <a:prstGeom prst="rect"/>
                  </pic:spPr>
                </pic:pic>
              </a:graphicData>
            </a:graphic>
          </wp:inline>
        </w:drawing>
      </w:r>
    </w:p>
    <w:p>
      <w:pPr>
        <w:spacing w:before="40" w:after="200"/>
        <w:jc w:val="center"/>
      </w:pPr>
      <w:r>
        <w:rPr>
          <w:rFonts w:ascii="Segoe UI" w:hAnsi="Segoe UI"/>
          <w:i/>
          <w:color w:val="64748B"/>
          <w:sz w:val="17"/>
        </w:rPr>
        <w:t>Figure (Real Production Capture): Reports &amp; Audit History showing Immutable Append-Only Audit Trail with Sanitized Metadata.</w:t>
      </w:r>
    </w:p>
    <w:p>
      <w:pPr>
        <w:keepNext/>
        <w:spacing w:before="360" w:after="120"/>
      </w:pPr>
      <w:r>
        <w:rPr>
          <w:rFonts w:ascii="Segoe UI Semibold" w:hAnsi="Segoe UI Semibold"/>
          <w:b/>
          <w:color w:val="0F172A"/>
          <w:sz w:val="36"/>
        </w:rPr>
        <w:t>5. Operational Runbook &amp; Credential Registry</w:t>
      </w:r>
    </w:p>
    <w:p>
      <w:pPr>
        <w:keepNext/>
        <w:spacing w:before="280" w:after="80"/>
      </w:pPr>
      <w:r>
        <w:rPr>
          <w:rFonts w:ascii="Segoe UI Semibold" w:hAnsi="Segoe UI Semibold"/>
          <w:b/>
          <w:color w:val="E50914"/>
          <w:sz w:val="27"/>
        </w:rPr>
        <w:t>5.1 Pre-Provisioned Operator Accounts</w:t>
      </w:r>
    </w:p>
    <w:p>
      <w:pPr>
        <w:spacing w:line="288" w:lineRule="auto" w:after="120"/>
      </w:pPr>
      <w:r>
        <w:rPr>
          <w:rFonts w:ascii="Segoe UI" w:hAnsi="Segoe UI"/>
          <w:color w:val="334155"/>
          <w:sz w:val="20"/>
        </w:rPr>
        <w:t>The platform is configured with three distinct organizational seats: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728"/>
            <w:shd w:fill="0F172A"/>
            <w:tcMar>
              <w:top w:w="100" w:type="dxa"/>
              <w:bottom w:w="100" w:type="dxa"/>
              <w:left w:w="120" w:type="dxa"/>
              <w:right w:w="120" w:type="dxa"/>
            </w:tcMar>
          </w:tcPr>
          <w:p>
            <w:pPr>
              <w:spacing w:before="0" w:after="0"/>
            </w:pPr>
            <w:r>
              <w:rPr>
                <w:rFonts w:ascii="Segoe UI Semibold" w:hAnsi="Segoe UI Semibold"/>
                <w:b/>
                <w:color w:val="FFFFFF"/>
                <w:sz w:val="18"/>
              </w:rPr>
              <w:t>Organizational Role</w:t>
            </w:r>
          </w:p>
        </w:tc>
        <w:tc>
          <w:tcPr>
            <w:tcW w:type="dxa" w:w="3168"/>
            <w:shd w:fill="0F172A"/>
            <w:tcMar>
              <w:top w:w="100" w:type="dxa"/>
              <w:bottom w:w="100" w:type="dxa"/>
              <w:left w:w="120" w:type="dxa"/>
              <w:right w:w="120" w:type="dxa"/>
            </w:tcMar>
          </w:tcPr>
          <w:p>
            <w:pPr>
              <w:spacing w:before="0" w:after="0"/>
            </w:pPr>
            <w:r>
              <w:rPr>
                <w:rFonts w:ascii="Segoe UI Semibold" w:hAnsi="Segoe UI Semibold"/>
                <w:b/>
                <w:color w:val="FFFFFF"/>
                <w:sz w:val="18"/>
              </w:rPr>
              <w:t>Official Email Address</w:t>
            </w:r>
          </w:p>
        </w:tc>
        <w:tc>
          <w:tcPr>
            <w:tcW w:type="dxa" w:w="2592"/>
            <w:shd w:fill="0F172A"/>
            <w:tcMar>
              <w:top w:w="100" w:type="dxa"/>
              <w:bottom w:w="100" w:type="dxa"/>
              <w:left w:w="120" w:type="dxa"/>
              <w:right w:w="120" w:type="dxa"/>
            </w:tcMar>
          </w:tcPr>
          <w:p>
            <w:pPr>
              <w:spacing w:before="0" w:after="0"/>
            </w:pPr>
            <w:r>
              <w:rPr>
                <w:rFonts w:ascii="Segoe UI Semibold" w:hAnsi="Segoe UI Semibold"/>
                <w:b/>
                <w:color w:val="FFFFFF"/>
                <w:sz w:val="18"/>
              </w:rPr>
              <w:t>Production Password</w:t>
            </w:r>
          </w:p>
        </w:tc>
        <w:tc>
          <w:tcPr>
            <w:tcW w:type="dxa" w:w="1872"/>
            <w:shd w:fill="0F172A"/>
            <w:tcMar>
              <w:top w:w="100" w:type="dxa"/>
              <w:bottom w:w="100" w:type="dxa"/>
              <w:left w:w="120" w:type="dxa"/>
              <w:right w:w="120" w:type="dxa"/>
            </w:tcMar>
          </w:tcPr>
          <w:p>
            <w:pPr>
              <w:spacing w:before="0" w:after="0"/>
            </w:pPr>
            <w:r>
              <w:rPr>
                <w:rFonts w:ascii="Segoe UI Semibold" w:hAnsi="Segoe UI Semibold"/>
                <w:b/>
                <w:color w:val="FFFFFF"/>
                <w:sz w:val="18"/>
              </w:rPr>
              <w:t>Governance Level</w:t>
            </w:r>
          </w:p>
        </w:tc>
      </w:tr>
      <w:tr>
        <w:tc>
          <w:tcPr>
            <w:tcW w:type="dxa" w:w="1728"/>
            <w:shd w:fill="FFFFFF"/>
            <w:tcMar>
              <w:top w:w="80" w:type="dxa"/>
              <w:bottom w:w="80" w:type="dxa"/>
              <w:left w:w="120" w:type="dxa"/>
              <w:right w:w="120" w:type="dxa"/>
            </w:tcMar>
          </w:tcPr>
          <w:p>
            <w:pPr>
              <w:spacing w:before="0" w:after="0"/>
            </w:pPr>
            <w:r>
              <w:rPr>
                <w:rFonts w:ascii="Segoe UI" w:hAnsi="Segoe UI"/>
                <w:b/>
                <w:color w:val="1E293B"/>
                <w:sz w:val="17"/>
              </w:rPr>
              <w:t>Admin</w:t>
            </w:r>
          </w:p>
        </w:tc>
        <w:tc>
          <w:tcPr>
            <w:tcW w:type="dxa" w:w="3168"/>
            <w:shd w:fill="FFFFFF"/>
            <w:tcMar>
              <w:top w:w="80" w:type="dxa"/>
              <w:bottom w:w="80" w:type="dxa"/>
              <w:left w:w="120" w:type="dxa"/>
              <w:right w:w="120" w:type="dxa"/>
            </w:tcMar>
          </w:tcPr>
          <w:p>
            <w:pPr>
              <w:spacing w:before="0" w:after="0"/>
            </w:pPr>
            <w:r>
              <w:rPr>
                <w:rFonts w:ascii="Segoe UI" w:hAnsi="Segoe UI"/>
                <w:color w:val="1E293B"/>
                <w:sz w:val="17"/>
              </w:rPr>
              <w:t>admin@shortfundly.com</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Admin@ShortFundly2026!</w:t>
            </w:r>
          </w:p>
        </w:tc>
        <w:tc>
          <w:tcPr>
            <w:tcW w:type="dxa" w:w="1872"/>
            <w:shd w:fill="FFFFFF"/>
            <w:tcMar>
              <w:top w:w="80" w:type="dxa"/>
              <w:bottom w:w="80" w:type="dxa"/>
              <w:left w:w="120" w:type="dxa"/>
              <w:right w:w="120" w:type="dxa"/>
            </w:tcMar>
          </w:tcPr>
          <w:p>
            <w:pPr>
              <w:spacing w:before="0" w:after="0"/>
            </w:pPr>
            <w:r>
              <w:rPr>
                <w:rFonts w:ascii="Segoe UI" w:hAnsi="Segoe UI"/>
                <w:color w:val="1E293B"/>
                <w:sz w:val="17"/>
              </w:rPr>
              <w:t>Full Governance &amp; Kill Switch</w:t>
            </w:r>
          </w:p>
        </w:tc>
      </w:tr>
      <w:tr>
        <w:tc>
          <w:tcPr>
            <w:tcW w:type="dxa" w:w="1728"/>
            <w:shd w:fill="F8FAFC"/>
            <w:tcMar>
              <w:top w:w="80" w:type="dxa"/>
              <w:bottom w:w="80" w:type="dxa"/>
              <w:left w:w="120" w:type="dxa"/>
              <w:right w:w="120" w:type="dxa"/>
            </w:tcMar>
          </w:tcPr>
          <w:p>
            <w:pPr>
              <w:spacing w:before="0" w:after="0"/>
            </w:pPr>
            <w:r>
              <w:rPr>
                <w:rFonts w:ascii="Segoe UI" w:hAnsi="Segoe UI"/>
                <w:b/>
                <w:color w:val="1E293B"/>
                <w:sz w:val="17"/>
              </w:rPr>
              <w:t>HR Specialist</w:t>
            </w:r>
          </w:p>
        </w:tc>
        <w:tc>
          <w:tcPr>
            <w:tcW w:type="dxa" w:w="3168"/>
            <w:shd w:fill="F8FAFC"/>
            <w:tcMar>
              <w:top w:w="80" w:type="dxa"/>
              <w:bottom w:w="80" w:type="dxa"/>
              <w:left w:w="120" w:type="dxa"/>
              <w:right w:w="120" w:type="dxa"/>
            </w:tcMar>
          </w:tcPr>
          <w:p>
            <w:pPr>
              <w:spacing w:before="0" w:after="0"/>
            </w:pPr>
            <w:r>
              <w:rPr>
                <w:rFonts w:ascii="Segoe UI" w:hAnsi="Segoe UI"/>
                <w:color w:val="1E293B"/>
                <w:sz w:val="17"/>
              </w:rPr>
              <w:t>hr@shortfundly.com</w:t>
            </w:r>
          </w:p>
        </w:tc>
        <w:tc>
          <w:tcPr>
            <w:tcW w:type="dxa" w:w="2592"/>
            <w:shd w:fill="F8FAFC"/>
            <w:tcMar>
              <w:top w:w="80" w:type="dxa"/>
              <w:bottom w:w="80" w:type="dxa"/>
              <w:left w:w="120" w:type="dxa"/>
              <w:right w:w="120" w:type="dxa"/>
            </w:tcMar>
          </w:tcPr>
          <w:p>
            <w:pPr>
              <w:spacing w:before="0" w:after="0"/>
            </w:pPr>
            <w:r>
              <w:rPr>
                <w:rFonts w:ascii="Segoe UI" w:hAnsi="Segoe UI"/>
                <w:color w:val="1E293B"/>
                <w:sz w:val="17"/>
              </w:rPr>
              <w:t>Hr@ShortFundly2026!</w:t>
            </w:r>
          </w:p>
        </w:tc>
        <w:tc>
          <w:tcPr>
            <w:tcW w:type="dxa" w:w="1872"/>
            <w:shd w:fill="F8FAFC"/>
            <w:tcMar>
              <w:top w:w="80" w:type="dxa"/>
              <w:bottom w:w="80" w:type="dxa"/>
              <w:left w:w="120" w:type="dxa"/>
              <w:right w:w="120" w:type="dxa"/>
            </w:tcMar>
          </w:tcPr>
          <w:p>
            <w:pPr>
              <w:spacing w:before="0" w:after="0"/>
            </w:pPr>
            <w:r>
              <w:rPr>
                <w:rFonts w:ascii="Segoe UI" w:hAnsi="Segoe UI"/>
                <w:color w:val="1E293B"/>
                <w:sz w:val="17"/>
              </w:rPr>
              <w:t>Contacts, Spreadsheets &amp; Templates</w:t>
            </w:r>
          </w:p>
        </w:tc>
      </w:tr>
      <w:tr>
        <w:tc>
          <w:tcPr>
            <w:tcW w:type="dxa" w:w="1728"/>
            <w:shd w:fill="FFFFFF"/>
            <w:tcMar>
              <w:top w:w="80" w:type="dxa"/>
              <w:bottom w:w="80" w:type="dxa"/>
              <w:left w:w="120" w:type="dxa"/>
              <w:right w:w="120" w:type="dxa"/>
            </w:tcMar>
          </w:tcPr>
          <w:p>
            <w:pPr>
              <w:spacing w:before="0" w:after="0"/>
            </w:pPr>
            <w:r>
              <w:rPr>
                <w:rFonts w:ascii="Segoe UI" w:hAnsi="Segoe UI"/>
                <w:b/>
                <w:color w:val="1E293B"/>
                <w:sz w:val="17"/>
              </w:rPr>
              <w:t>Tech Lead</w:t>
            </w:r>
          </w:p>
        </w:tc>
        <w:tc>
          <w:tcPr>
            <w:tcW w:type="dxa" w:w="3168"/>
            <w:shd w:fill="FFFFFF"/>
            <w:tcMar>
              <w:top w:w="80" w:type="dxa"/>
              <w:bottom w:w="80" w:type="dxa"/>
              <w:left w:w="120" w:type="dxa"/>
              <w:right w:w="120" w:type="dxa"/>
            </w:tcMar>
          </w:tcPr>
          <w:p>
            <w:pPr>
              <w:spacing w:before="0" w:after="0"/>
            </w:pPr>
            <w:r>
              <w:rPr>
                <w:rFonts w:ascii="Segoe UI" w:hAnsi="Segoe UI"/>
                <w:color w:val="1E293B"/>
                <w:sz w:val="17"/>
              </w:rPr>
              <w:t>techlead@shortfundly.com</w:t>
            </w:r>
          </w:p>
        </w:tc>
        <w:tc>
          <w:tcPr>
            <w:tcW w:type="dxa" w:w="2592"/>
            <w:shd w:fill="FFFFFF"/>
            <w:tcMar>
              <w:top w:w="80" w:type="dxa"/>
              <w:bottom w:w="80" w:type="dxa"/>
              <w:left w:w="120" w:type="dxa"/>
              <w:right w:w="120" w:type="dxa"/>
            </w:tcMar>
          </w:tcPr>
          <w:p>
            <w:pPr>
              <w:spacing w:before="0" w:after="0"/>
            </w:pPr>
            <w:r>
              <w:rPr>
                <w:rFonts w:ascii="Segoe UI" w:hAnsi="Segoe UI"/>
                <w:color w:val="1E293B"/>
                <w:sz w:val="17"/>
              </w:rPr>
              <w:t>TechLead@ShortFundly2026!</w:t>
            </w:r>
          </w:p>
        </w:tc>
        <w:tc>
          <w:tcPr>
            <w:tcW w:type="dxa" w:w="1872"/>
            <w:shd w:fill="FFFFFF"/>
            <w:tcMar>
              <w:top w:w="80" w:type="dxa"/>
              <w:bottom w:w="80" w:type="dxa"/>
              <w:left w:w="120" w:type="dxa"/>
              <w:right w:w="120" w:type="dxa"/>
            </w:tcMar>
          </w:tcPr>
          <w:p>
            <w:pPr>
              <w:spacing w:before="0" w:after="0"/>
            </w:pPr>
            <w:r>
              <w:rPr>
                <w:rFonts w:ascii="Segoe UI" w:hAnsi="Segoe UI"/>
                <w:color w:val="1E293B"/>
                <w:sz w:val="17"/>
              </w:rPr>
              <w:t>Queue Monitoring &amp; Diagnostics</w:t>
            </w:r>
          </w:p>
        </w:tc>
      </w:tr>
    </w:tbl>
    <w:p>
      <w:pPr>
        <w:keepNext/>
        <w:spacing w:before="280" w:after="80"/>
      </w:pPr>
      <w:r>
        <w:rPr>
          <w:rFonts w:ascii="Segoe UI Semibold" w:hAnsi="Segoe UI Semibold"/>
          <w:b/>
          <w:color w:val="E50914"/>
          <w:sz w:val="27"/>
        </w:rPr>
        <w:t>5.2 Production Startup &amp; Execution Protocol</w:t>
      </w:r>
    </w:p>
    <w:p>
      <w:pPr>
        <w:pStyle w:val="ListBullet"/>
        <w:spacing w:line="276" w:lineRule="auto" w:after="60" w:before="0"/>
      </w:pPr>
      <w:r>
        <w:rPr>
          <w:rFonts w:ascii="Segoe UI" w:hAnsi="Segoe UI"/>
          <w:b/>
          <w:color w:val="0F172A"/>
          <w:sz w:val="19"/>
        </w:rPr>
        <w:t xml:space="preserve">1. Database &amp; Cache Verification: </w:t>
      </w:r>
      <w:r>
        <w:rPr>
          <w:rFonts w:ascii="Segoe UI" w:hAnsi="Segoe UI"/>
          <w:color w:val="334155"/>
          <w:sz w:val="19"/>
        </w:rPr>
        <w:t>Ensure PostgreSQL (Neon) and Redis are accessible via environment variables (.env).</w:t>
      </w:r>
    </w:p>
    <w:p>
      <w:pPr>
        <w:pStyle w:val="ListBullet"/>
        <w:spacing w:line="276" w:lineRule="auto" w:after="60" w:before="0"/>
      </w:pPr>
      <w:r>
        <w:rPr>
          <w:rFonts w:ascii="Segoe UI" w:hAnsi="Segoe UI"/>
          <w:b/>
          <w:color w:val="0F172A"/>
          <w:sz w:val="19"/>
        </w:rPr>
        <w:t xml:space="preserve">2. Schema Migration &amp; Seeding: </w:t>
      </w:r>
      <w:r>
        <w:rPr>
          <w:rFonts w:ascii="Segoe UI" w:hAnsi="Segoe UI"/>
          <w:color w:val="334155"/>
          <w:sz w:val="19"/>
        </w:rPr>
        <w:t>Execute 'npm run prisma:migrate' to apply database schema, followed by 'npm run db:seed' to populate verified Odisha contacts and templates.</w:t>
      </w:r>
    </w:p>
    <w:p>
      <w:pPr>
        <w:pStyle w:val="ListBullet"/>
        <w:spacing w:line="276" w:lineRule="auto" w:after="60" w:before="0"/>
      </w:pPr>
      <w:r>
        <w:rPr>
          <w:rFonts w:ascii="Segoe UI" w:hAnsi="Segoe UI"/>
          <w:b/>
          <w:color w:val="0F172A"/>
          <w:sz w:val="19"/>
        </w:rPr>
        <w:t xml:space="preserve">3. Web Application Deployment: </w:t>
      </w:r>
      <w:r>
        <w:rPr>
          <w:rFonts w:ascii="Segoe UI" w:hAnsi="Segoe UI"/>
          <w:color w:val="334155"/>
          <w:sz w:val="19"/>
        </w:rPr>
        <w:t>Execute 'npm run build' to create optimized Next.js server components, then start the web server with 'npm run start'.</w:t>
      </w:r>
    </w:p>
    <w:p>
      <w:pPr>
        <w:pStyle w:val="ListBullet"/>
        <w:spacing w:line="276" w:lineRule="auto" w:after="60" w:before="0"/>
      </w:pPr>
      <w:r>
        <w:rPr>
          <w:rFonts w:ascii="Segoe UI" w:hAnsi="Segoe UI"/>
          <w:b/>
          <w:color w:val="0F172A"/>
          <w:sz w:val="19"/>
        </w:rPr>
        <w:t xml:space="preserve">4. Queue Worker Launch: </w:t>
      </w:r>
      <w:r>
        <w:rPr>
          <w:rFonts w:ascii="Segoe UI" w:hAnsi="Segoe UI"/>
          <w:color w:val="334155"/>
          <w:sz w:val="19"/>
        </w:rPr>
        <w:t>In a managed process supervisor (PM2 or systemd), launch the background queue processor using 'npm run worker'.</w:t>
      </w:r>
    </w:p>
    <w:p>
      <w:pPr>
        <w:pStyle w:val="ListBullet"/>
        <w:spacing w:line="276" w:lineRule="auto" w:after="60" w:before="0"/>
      </w:pPr>
      <w:r>
        <w:rPr>
          <w:rFonts w:ascii="Segoe UI" w:hAnsi="Segoe UI"/>
          <w:b/>
          <w:color w:val="0F172A"/>
          <w:sz w:val="19"/>
        </w:rPr>
        <w:t xml:space="preserve">5. Outbound Health Check: </w:t>
      </w:r>
      <w:r>
        <w:rPr>
          <w:rFonts w:ascii="Segoe UI" w:hAnsi="Segoe UI"/>
          <w:color w:val="334155"/>
          <w:sz w:val="19"/>
        </w:rPr>
        <w:t>Navigate to /settings, verify the Google SMTP handshake status, and confirm that the Emergency Global Kill Switch indicates 'NORMAL OPERATIONS ACTIVE'.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