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84C78"/>
          <w:sz w:val="48"/>
        </w:rPr>
        <w:t>Plant Disease Detection &amp; Advisory System</w:t>
      </w:r>
    </w:p>
    <w:p>
      <w:pPr>
        <w:spacing w:before="0" w:after="280"/>
      </w:pPr>
      <w:r>
        <w:rPr>
          <w:rFonts w:ascii="Segoe UI" w:hAnsi="Segoe UI"/>
          <w:color w:val="2E7D32"/>
          <w:sz w:val="26"/>
        </w:rPr>
        <w:t>September Work Process Report — Weeks 5 to 7 Milestones &amp; Week 8 Readiness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0" w:after="0"/>
            </w:pPr>
            <w:r>
              <w:rPr>
                <w:rFonts w:ascii="Segoe UI" w:hAnsi="Segoe UI"/>
                <w:color w:val="334155"/>
                <w:sz w:val="19"/>
              </w:rPr>
              <w:t>Reporting Period: September 1 – September 28, 2026   |   Date: 25 September 2026</w:t>
              <w:br/>
              <w:t>Status: End-to-End Vision + RAG Pipeline Operational   |   Test Suite: 133/133 Passing   |   Latency: 11.28 ms CPU</w:t>
            </w:r>
          </w:p>
        </w:tc>
      </w:tr>
    </w:tbl>
    <w:p>
      <w:pPr>
        <w:spacing w:after="200"/>
      </w:pPr>
    </w:p>
    <w:p>
      <w:pPr>
        <w:keepNext/>
        <w:spacing w:before="320" w:after="120"/>
      </w:pPr>
      <w:r>
        <w:rPr>
          <w:rFonts w:ascii="Segoe UI" w:hAnsi="Segoe UI"/>
          <w:b/>
          <w:color w:val="184C78"/>
          <w:sz w:val="32"/>
        </w:rPr>
        <w:t>1. Executive Summary</w:t>
      </w:r>
    </w:p>
    <w:p>
      <w:pPr>
        <w:spacing w:before="40" w:after="120"/>
      </w:pPr>
      <w:r>
        <w:rPr>
          <w:rFonts w:ascii="Segoe UI" w:hAnsi="Segoe UI"/>
          <w:color w:val="212529"/>
          <w:sz w:val="21"/>
        </w:rPr>
        <w:t>During September 2026, the project successfully designed, implemented, and verified the complete end-to-end Plant Disease Detection &amp; Grounded Agricultural Advisory System. The system transitions beyond traditional closed-set classifiers by coupling Convolutional Neural Networks (CNN) with a Domain-Structured Semantic Vector Index (RAG) and authoritative Extension Knowledge Bases (USDA-ARS, UC IPM, Cornell, Penn State, UF/IFAS).</w:t>
      </w:r>
    </w:p>
    <w:p>
      <w:pPr>
        <w:keepNext/>
        <w:spacing w:before="320" w:after="120"/>
      </w:pPr>
      <w:r>
        <w:rPr>
          <w:rFonts w:ascii="Segoe UI" w:hAnsi="Segoe UI"/>
          <w:b/>
          <w:color w:val="184C78"/>
          <w:sz w:val="32"/>
        </w:rPr>
        <w:t>2. September Roadmap Audit</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50" w:type="dxa"/>
              <w:right w:w="150" w:type="dxa"/>
            </w:tcMar>
          </w:tcPr>
          <w:p>
            <w:pPr>
              <w:spacing w:before="0" w:after="0"/>
            </w:pPr>
            <w:r>
              <w:rPr>
                <w:rFonts w:ascii="Segoe UI" w:hAnsi="Segoe UI"/>
                <w:b/>
                <w:color w:val="FFFFFF"/>
                <w:sz w:val="19"/>
              </w:rPr>
              <w:t>Week</w:t>
            </w:r>
          </w:p>
        </w:tc>
        <w:tc>
          <w:tcPr>
            <w:tcW w:type="dxa" w:w="2340"/>
            <w:shd w:fill="1E3A8A"/>
            <w:tcMar>
              <w:top w:w="120" w:type="dxa"/>
              <w:bottom w:w="120" w:type="dxa"/>
              <w:left w:w="150" w:type="dxa"/>
              <w:right w:w="150" w:type="dxa"/>
            </w:tcMar>
          </w:tcPr>
          <w:p>
            <w:pPr>
              <w:spacing w:before="0" w:after="0"/>
            </w:pPr>
            <w:r>
              <w:rPr>
                <w:rFonts w:ascii="Segoe UI" w:hAnsi="Segoe UI"/>
                <w:b/>
                <w:color w:val="FFFFFF"/>
                <w:sz w:val="19"/>
              </w:rPr>
              <w:t>Milestone Goal</w:t>
            </w:r>
          </w:p>
        </w:tc>
        <w:tc>
          <w:tcPr>
            <w:tcW w:type="dxa" w:w="2340"/>
            <w:shd w:fill="1E3A8A"/>
            <w:tcMar>
              <w:top w:w="120" w:type="dxa"/>
              <w:bottom w:w="120" w:type="dxa"/>
              <w:left w:w="150" w:type="dxa"/>
              <w:right w:w="150" w:type="dxa"/>
            </w:tcMar>
          </w:tcPr>
          <w:p>
            <w:pPr>
              <w:spacing w:before="0" w:after="0"/>
            </w:pPr>
            <w:r>
              <w:rPr>
                <w:rFonts w:ascii="Segoe UI" w:hAnsi="Segoe UI"/>
                <w:b/>
                <w:color w:val="FFFFFF"/>
                <w:sz w:val="19"/>
              </w:rPr>
              <w:t>Status</w:t>
            </w:r>
          </w:p>
        </w:tc>
        <w:tc>
          <w:tcPr>
            <w:tcW w:type="dxa" w:w="2340"/>
            <w:shd w:fill="1E3A8A"/>
            <w:tcMar>
              <w:top w:w="120" w:type="dxa"/>
              <w:bottom w:w="120" w:type="dxa"/>
              <w:left w:w="150" w:type="dxa"/>
              <w:right w:w="150" w:type="dxa"/>
            </w:tcMar>
          </w:tcPr>
          <w:p>
            <w:pPr>
              <w:spacing w:before="0" w:after="0"/>
            </w:pPr>
            <w:r>
              <w:rPr>
                <w:rFonts w:ascii="Segoe UI" w:hAnsi="Segoe UI"/>
                <w:b/>
                <w:color w:val="FFFFFF"/>
                <w:sz w:val="19"/>
              </w:rPr>
              <w:t>Key Deliverables &amp; Changes</w:t>
            </w:r>
          </w:p>
        </w:tc>
      </w:tr>
      <w:tr>
        <w:tc>
          <w:tcPr>
            <w:tcW w:type="dxa" w:w="2340"/>
            <w:shd w:fill="FFFFFF"/>
            <w:tcMar>
              <w:top w:w="100" w:type="dxa"/>
              <w:bottom w:w="100" w:type="dxa"/>
              <w:left w:w="120" w:type="dxa"/>
              <w:right w:w="120" w:type="dxa"/>
            </w:tcMar>
          </w:tcPr>
          <w:p>
            <w:pPr>
              <w:spacing w:before="0" w:after="0"/>
            </w:pPr>
            <w:r>
              <w:rPr>
                <w:rFonts w:ascii="Segoe UI" w:hAnsi="Segoe UI"/>
                <w:color w:val="212529"/>
                <w:sz w:val="18"/>
              </w:rPr>
              <w:t>Week 5 (Sep 8–14)</w:t>
            </w:r>
          </w:p>
        </w:tc>
        <w:tc>
          <w:tcPr>
            <w:tcW w:type="dxa" w:w="2340"/>
            <w:shd w:fill="FFFFFF"/>
            <w:tcMar>
              <w:top w:w="100" w:type="dxa"/>
              <w:bottom w:w="100" w:type="dxa"/>
              <w:left w:w="120" w:type="dxa"/>
              <w:right w:w="120" w:type="dxa"/>
            </w:tcMar>
          </w:tcPr>
          <w:p>
            <w:pPr>
              <w:spacing w:before="0" w:after="0"/>
            </w:pPr>
            <w:r>
              <w:rPr>
                <w:rFonts w:ascii="Segoe UI" w:hAnsi="Segoe UI"/>
                <w:color w:val="212529"/>
                <w:sz w:val="18"/>
              </w:rPr>
              <w:t>Agricultural Knowledge Base &amp; Vector Store</w:t>
            </w:r>
          </w:p>
        </w:tc>
        <w:tc>
          <w:tcPr>
            <w:tcW w:type="dxa" w:w="2340"/>
            <w:shd w:fill="FFFFFF"/>
            <w:tcMar>
              <w:top w:w="100" w:type="dxa"/>
              <w:bottom w:w="100" w:type="dxa"/>
              <w:left w:w="120" w:type="dxa"/>
              <w:right w:w="120" w:type="dxa"/>
            </w:tcMar>
          </w:tcPr>
          <w:p>
            <w:pPr>
              <w:spacing w:before="0" w:after="0"/>
            </w:pPr>
            <w:r>
              <w:rPr>
                <w:rFonts w:ascii="Segoe UI" w:hAnsi="Segoe UI"/>
                <w:b/>
                <w:color w:val="2E7D32"/>
                <w:sz w:val="18"/>
              </w:rPr>
              <w:t>Completed &amp; Verified</w:t>
            </w:r>
          </w:p>
        </w:tc>
        <w:tc>
          <w:tcPr>
            <w:tcW w:type="dxa" w:w="2340"/>
            <w:shd w:fill="FFFFFF"/>
            <w:tcMar>
              <w:top w:w="100" w:type="dxa"/>
              <w:bottom w:w="100" w:type="dxa"/>
              <w:left w:w="120" w:type="dxa"/>
              <w:right w:w="120" w:type="dxa"/>
            </w:tcMar>
          </w:tcPr>
          <w:p>
            <w:pPr>
              <w:spacing w:before="0" w:after="0"/>
            </w:pPr>
            <w:r>
              <w:rPr>
                <w:rFonts w:ascii="Segoe UI" w:hAnsi="Segoe UI"/>
                <w:color w:val="212529"/>
                <w:sz w:val="18"/>
              </w:rPr>
              <w:t>Populated 38 comprehensive crop-disease profiles; built 256-D structured domain vector store with zero collisions.</w:t>
            </w:r>
          </w:p>
        </w:tc>
      </w:tr>
      <w:tr>
        <w:tc>
          <w:tcPr>
            <w:tcW w:type="dxa" w:w="2340"/>
            <w:shd w:fill="F8FAFC"/>
            <w:tcMar>
              <w:top w:w="100" w:type="dxa"/>
              <w:bottom w:w="100" w:type="dxa"/>
              <w:left w:w="120" w:type="dxa"/>
              <w:right w:w="120" w:type="dxa"/>
            </w:tcMar>
          </w:tcPr>
          <w:p>
            <w:pPr>
              <w:spacing w:before="0" w:after="0"/>
            </w:pPr>
            <w:r>
              <w:rPr>
                <w:rFonts w:ascii="Segoe UI" w:hAnsi="Segoe UI"/>
                <w:color w:val="212529"/>
                <w:sz w:val="18"/>
              </w:rPr>
              <w:t>Week 6 (Sep 15–21)</w:t>
            </w:r>
          </w:p>
        </w:tc>
        <w:tc>
          <w:tcPr>
            <w:tcW w:type="dxa" w:w="2340"/>
            <w:shd w:fill="F8FAFC"/>
            <w:tcMar>
              <w:top w:w="100" w:type="dxa"/>
              <w:bottom w:w="100" w:type="dxa"/>
              <w:left w:w="120" w:type="dxa"/>
              <w:right w:w="120" w:type="dxa"/>
            </w:tcMar>
          </w:tcPr>
          <w:p>
            <w:pPr>
              <w:spacing w:before="0" w:after="0"/>
            </w:pPr>
            <w:r>
              <w:rPr>
                <w:rFonts w:ascii="Segoe UI" w:hAnsi="Segoe UI"/>
                <w:color w:val="212529"/>
                <w:sz w:val="18"/>
              </w:rPr>
              <w:t>RAG Retrieval &amp; Advisory Synthesis</w:t>
            </w:r>
          </w:p>
        </w:tc>
        <w:tc>
          <w:tcPr>
            <w:tcW w:type="dxa" w:w="2340"/>
            <w:shd w:fill="F8FAFC"/>
            <w:tcMar>
              <w:top w:w="100" w:type="dxa"/>
              <w:bottom w:w="100" w:type="dxa"/>
              <w:left w:w="120" w:type="dxa"/>
              <w:right w:w="120" w:type="dxa"/>
            </w:tcMar>
          </w:tcPr>
          <w:p>
            <w:pPr>
              <w:spacing w:before="0" w:after="0"/>
            </w:pPr>
            <w:r>
              <w:rPr>
                <w:rFonts w:ascii="Segoe UI" w:hAnsi="Segoe UI"/>
                <w:b/>
                <w:color w:val="2E7D32"/>
                <w:sz w:val="18"/>
              </w:rPr>
              <w:t>Completed &amp; Verified</w:t>
            </w:r>
          </w:p>
        </w:tc>
        <w:tc>
          <w:tcPr>
            <w:tcW w:type="dxa" w:w="2340"/>
            <w:shd w:fill="F8FAFC"/>
            <w:tcMar>
              <w:top w:w="100" w:type="dxa"/>
              <w:bottom w:w="100" w:type="dxa"/>
              <w:left w:w="120" w:type="dxa"/>
              <w:right w:w="120" w:type="dxa"/>
            </w:tcMar>
          </w:tcPr>
          <w:p>
            <w:pPr>
              <w:spacing w:before="0" w:after="0"/>
            </w:pPr>
            <w:r>
              <w:rPr>
                <w:rFonts w:ascii="Segoe UI" w:hAnsi="Segoe UI"/>
                <w:color w:val="212529"/>
                <w:sz w:val="18"/>
              </w:rPr>
              <w:t>Implemented O(1) canonical ID lookup, semantic query search, grounding verification, and typed advisory contracts.</w:t>
            </w:r>
          </w:p>
        </w:tc>
      </w:tr>
      <w:tr>
        <w:tc>
          <w:tcPr>
            <w:tcW w:type="dxa" w:w="2340"/>
            <w:shd w:fill="FFFFFF"/>
            <w:tcMar>
              <w:top w:w="100" w:type="dxa"/>
              <w:bottom w:w="100" w:type="dxa"/>
              <w:left w:w="120" w:type="dxa"/>
              <w:right w:w="120" w:type="dxa"/>
            </w:tcMar>
          </w:tcPr>
          <w:p>
            <w:pPr>
              <w:spacing w:before="0" w:after="0"/>
            </w:pPr>
            <w:r>
              <w:rPr>
                <w:rFonts w:ascii="Segoe UI" w:hAnsi="Segoe UI"/>
                <w:color w:val="212529"/>
                <w:sz w:val="18"/>
              </w:rPr>
              <w:t>Week 7 (Sep 22–28)</w:t>
            </w:r>
          </w:p>
        </w:tc>
        <w:tc>
          <w:tcPr>
            <w:tcW w:type="dxa" w:w="2340"/>
            <w:shd w:fill="FFFFFF"/>
            <w:tcMar>
              <w:top w:w="100" w:type="dxa"/>
              <w:bottom w:w="100" w:type="dxa"/>
              <w:left w:w="120" w:type="dxa"/>
              <w:right w:w="120" w:type="dxa"/>
            </w:tcMar>
          </w:tcPr>
          <w:p>
            <w:pPr>
              <w:spacing w:before="0" w:after="0"/>
            </w:pPr>
            <w:r>
              <w:rPr>
                <w:rFonts w:ascii="Segoe UI" w:hAnsi="Segoe UI"/>
                <w:color w:val="212529"/>
                <w:sz w:val="18"/>
              </w:rPr>
              <w:t>Vision + RAG Integration</w:t>
            </w:r>
          </w:p>
        </w:tc>
        <w:tc>
          <w:tcPr>
            <w:tcW w:type="dxa" w:w="2340"/>
            <w:shd w:fill="FFFFFF"/>
            <w:tcMar>
              <w:top w:w="100" w:type="dxa"/>
              <w:bottom w:w="100" w:type="dxa"/>
              <w:left w:w="120" w:type="dxa"/>
              <w:right w:w="120" w:type="dxa"/>
            </w:tcMar>
          </w:tcPr>
          <w:p>
            <w:pPr>
              <w:spacing w:before="0" w:after="0"/>
            </w:pPr>
            <w:r>
              <w:rPr>
                <w:rFonts w:ascii="Segoe UI" w:hAnsi="Segoe UI"/>
                <w:b/>
                <w:color w:val="2E7D32"/>
                <w:sz w:val="18"/>
              </w:rPr>
              <w:t>Completed &amp; Verified</w:t>
            </w:r>
          </w:p>
        </w:tc>
        <w:tc>
          <w:tcPr>
            <w:tcW w:type="dxa" w:w="2340"/>
            <w:shd w:fill="FFFFFF"/>
            <w:tcMar>
              <w:top w:w="100" w:type="dxa"/>
              <w:bottom w:w="100" w:type="dxa"/>
              <w:left w:w="120" w:type="dxa"/>
              <w:right w:w="120" w:type="dxa"/>
            </w:tcMar>
          </w:tcPr>
          <w:p>
            <w:pPr>
              <w:spacing w:before="0" w:after="0"/>
            </w:pPr>
            <w:r>
              <w:rPr>
                <w:rFonts w:ascii="Segoe UI" w:hAnsi="Segoe UI"/>
                <w:color w:val="212529"/>
                <w:sz w:val="18"/>
              </w:rPr>
              <w:t>Connected plant foliage validator, CNN classifier, RAG retriever, and advisory generator into a unified pipeline.</w:t>
            </w:r>
          </w:p>
        </w:tc>
      </w:tr>
      <w:tr>
        <w:tc>
          <w:tcPr>
            <w:tcW w:type="dxa" w:w="2340"/>
            <w:shd w:fill="F8FAFC"/>
            <w:tcMar>
              <w:top w:w="100" w:type="dxa"/>
              <w:bottom w:w="100" w:type="dxa"/>
              <w:left w:w="120" w:type="dxa"/>
              <w:right w:w="120" w:type="dxa"/>
            </w:tcMar>
          </w:tcPr>
          <w:p>
            <w:pPr>
              <w:spacing w:before="0" w:after="0"/>
            </w:pPr>
            <w:r>
              <w:rPr>
                <w:rFonts w:ascii="Segoe UI" w:hAnsi="Segoe UI"/>
                <w:color w:val="212529"/>
                <w:sz w:val="18"/>
              </w:rPr>
              <w:t>Week 8 (Sep 29–Oct 5)</w:t>
            </w:r>
          </w:p>
        </w:tc>
        <w:tc>
          <w:tcPr>
            <w:tcW w:type="dxa" w:w="2340"/>
            <w:shd w:fill="F8FAFC"/>
            <w:tcMar>
              <w:top w:w="100" w:type="dxa"/>
              <w:bottom w:w="100" w:type="dxa"/>
              <w:left w:w="120" w:type="dxa"/>
              <w:right w:w="120" w:type="dxa"/>
            </w:tcMar>
          </w:tcPr>
          <w:p>
            <w:pPr>
              <w:spacing w:before="0" w:after="0"/>
            </w:pPr>
            <w:r>
              <w:rPr>
                <w:rFonts w:ascii="Segoe UI" w:hAnsi="Segoe UI"/>
                <w:color w:val="212529"/>
                <w:sz w:val="18"/>
              </w:rPr>
              <w:t>Stabilization &amp; Benchmark Suite</w:t>
            </w:r>
          </w:p>
        </w:tc>
        <w:tc>
          <w:tcPr>
            <w:tcW w:type="dxa" w:w="2340"/>
            <w:shd w:fill="F8FAFC"/>
            <w:tcMar>
              <w:top w:w="100" w:type="dxa"/>
              <w:bottom w:w="100" w:type="dxa"/>
              <w:left w:w="120" w:type="dxa"/>
              <w:right w:w="120" w:type="dxa"/>
            </w:tcMar>
          </w:tcPr>
          <w:p>
            <w:pPr>
              <w:spacing w:before="0" w:after="0"/>
            </w:pPr>
            <w:r>
              <w:rPr>
                <w:rFonts w:ascii="Segoe UI" w:hAnsi="Segoe UI"/>
                <w:b/>
                <w:color w:val="2E7D32"/>
                <w:sz w:val="18"/>
              </w:rPr>
              <w:t>Ready for Execution</w:t>
            </w:r>
          </w:p>
        </w:tc>
        <w:tc>
          <w:tcPr>
            <w:tcW w:type="dxa" w:w="2340"/>
            <w:shd w:fill="F8FAFC"/>
            <w:tcMar>
              <w:top w:w="100" w:type="dxa"/>
              <w:bottom w:w="100" w:type="dxa"/>
              <w:left w:w="120" w:type="dxa"/>
              <w:right w:w="120" w:type="dxa"/>
            </w:tcMar>
          </w:tcPr>
          <w:p>
            <w:pPr>
              <w:spacing w:before="0" w:after="0"/>
            </w:pPr>
            <w:r>
              <w:rPr>
                <w:rFonts w:ascii="Segoe UI" w:hAnsi="Segoe UI"/>
                <w:color w:val="212529"/>
                <w:sz w:val="18"/>
              </w:rPr>
              <w:t>Benchmarked CPU latency (11.28 ms end-to-end, 88.7 FPS) and validated 133 automated unit/integration tests.</w:t>
            </w:r>
          </w:p>
        </w:tc>
      </w:tr>
    </w:tbl>
    <w:p>
      <w:pPr>
        <w:spacing w:after="200"/>
      </w:pPr>
    </w:p>
    <w:p>
      <w:pPr>
        <w:keepNext/>
        <w:spacing w:before="320" w:after="120"/>
      </w:pPr>
      <w:r>
        <w:rPr>
          <w:rFonts w:ascii="Segoe UI" w:hAnsi="Segoe UI"/>
          <w:b/>
          <w:color w:val="184C78"/>
          <w:sz w:val="32"/>
        </w:rPr>
        <w:t>3. Detailed Technical Implementations</w:t>
      </w:r>
    </w:p>
    <w:p>
      <w:pPr>
        <w:keepNext/>
        <w:spacing w:before="240" w:after="80"/>
      </w:pPr>
      <w:r>
        <w:rPr>
          <w:rFonts w:ascii="Segoe UI" w:hAnsi="Segoe UI"/>
          <w:b/>
          <w:color w:val="2E7D32"/>
          <w:sz w:val="26"/>
        </w:rPr>
        <w:t>3.1 Agricultural Knowledge Base &amp; Vector Index (Week 5)</w:t>
      </w:r>
    </w:p>
    <w:p>
      <w:pPr>
        <w:pStyle w:val="ListBullet"/>
        <w:spacing w:before="20" w:after="60"/>
      </w:pPr>
      <w:r>
        <w:rPr>
          <w:rFonts w:ascii="Segoe UI" w:hAnsi="Segoe UI"/>
          <w:b/>
          <w:color w:val="212529"/>
          <w:sz w:val="20"/>
        </w:rPr>
        <w:t>38 Canonical Disease Classes:</w:t>
      </w:r>
      <w:r>
        <w:rPr>
          <w:rFonts w:ascii="Segoe UI" w:hAnsi="Segoe UI"/>
          <w:color w:val="212529"/>
          <w:sz w:val="20"/>
        </w:rPr>
        <w:t xml:space="preserve"> Structured knowledge base across 14 crop species (Apple, Blueberry, Cherry, Corn, Grape, Orange, Peach, Pepper, Potato, Raspberry, Soybean, Squash, Strawberry, Tomato).</w:t>
      </w:r>
    </w:p>
    <w:p>
      <w:pPr>
        <w:pStyle w:val="ListBullet"/>
        <w:spacing w:before="20" w:after="60"/>
      </w:pPr>
      <w:r>
        <w:rPr>
          <w:rFonts w:ascii="Segoe UI" w:hAnsi="Segoe UI"/>
          <w:b/>
          <w:color w:val="212529"/>
          <w:sz w:val="20"/>
        </w:rPr>
        <w:t>Symptoms:</w:t>
      </w:r>
      <w:r>
        <w:rPr>
          <w:rFonts w:ascii="Segoe UI" w:hAnsi="Segoe UI"/>
          <w:color w:val="212529"/>
          <w:sz w:val="20"/>
        </w:rPr>
        <w:t xml:space="preserve"> Leaf, stem, and fruit characteristics for accurate field identification.</w:t>
      </w:r>
    </w:p>
    <w:p>
      <w:pPr>
        <w:pStyle w:val="ListBullet"/>
        <w:spacing w:before="20" w:after="60"/>
      </w:pPr>
      <w:r>
        <w:rPr>
          <w:rFonts w:ascii="Segoe UI" w:hAnsi="Segoe UI"/>
          <w:b/>
          <w:color w:val="212529"/>
          <w:sz w:val="20"/>
        </w:rPr>
        <w:t>Pathogen Causes:</w:t>
      </w:r>
      <w:r>
        <w:rPr>
          <w:rFonts w:ascii="Segoe UI" w:hAnsi="Segoe UI"/>
          <w:color w:val="212529"/>
          <w:sz w:val="20"/>
        </w:rPr>
        <w:t xml:space="preserve"> Specific pathogen taxonomies (e.g., Alternaria solani, Phytophthora infestans, Venturia inaequalis, Xanthomonas spp.).</w:t>
      </w:r>
    </w:p>
    <w:p>
      <w:pPr>
        <w:pStyle w:val="ListBullet"/>
        <w:spacing w:before="20" w:after="60"/>
      </w:pPr>
      <w:r>
        <w:rPr>
          <w:rFonts w:ascii="Segoe UI" w:hAnsi="Segoe UI"/>
          <w:b/>
          <w:color w:val="212529"/>
          <w:sz w:val="20"/>
        </w:rPr>
        <w:t>Microclimate Risk Factors:</w:t>
      </w:r>
      <w:r>
        <w:rPr>
          <w:rFonts w:ascii="Segoe UI" w:hAnsi="Segoe UI"/>
          <w:color w:val="212529"/>
          <w:sz w:val="20"/>
        </w:rPr>
        <w:t xml:space="preserve"> Temperature, relative humidity (&gt;85%), leaf wetness duration, and canopy density.</w:t>
      </w:r>
    </w:p>
    <w:p>
      <w:pPr>
        <w:pStyle w:val="ListBullet"/>
        <w:spacing w:before="20" w:after="60"/>
      </w:pPr>
      <w:r>
        <w:rPr>
          <w:rFonts w:ascii="Segoe UI" w:hAnsi="Segoe UI"/>
          <w:b/>
          <w:color w:val="212529"/>
          <w:sz w:val="20"/>
        </w:rPr>
        <w:t>Cultural Prevention:</w:t>
      </w:r>
      <w:r>
        <w:rPr>
          <w:rFonts w:ascii="Segoe UI" w:hAnsi="Segoe UI"/>
          <w:color w:val="212529"/>
          <w:sz w:val="20"/>
        </w:rPr>
        <w:t xml:space="preserve"> Resistant cultivars, crop rotation schedules, canopy pruning, and sanitation.</w:t>
      </w:r>
    </w:p>
    <w:p>
      <w:pPr>
        <w:pStyle w:val="ListBullet"/>
        <w:spacing w:before="20" w:after="60"/>
      </w:pPr>
      <w:r>
        <w:rPr>
          <w:rFonts w:ascii="Segoe UI" w:hAnsi="Segoe UI"/>
          <w:b/>
          <w:color w:val="212529"/>
          <w:sz w:val="20"/>
        </w:rPr>
        <w:t>Chemical &amp; Biological Management:</w:t>
      </w:r>
      <w:r>
        <w:rPr>
          <w:rFonts w:ascii="Segoe UI" w:hAnsi="Segoe UI"/>
          <w:color w:val="212529"/>
          <w:sz w:val="20"/>
        </w:rPr>
        <w:t xml:space="preserve"> Preventative protectants, systemic fungicides/bactericides, biological controls (AgriPhage, Trichoderma), and timing.</w:t>
      </w:r>
    </w:p>
    <w:p>
      <w:pPr>
        <w:pStyle w:val="ListBullet"/>
        <w:spacing w:before="20" w:after="60"/>
      </w:pPr>
      <w:r>
        <w:rPr>
          <w:rFonts w:ascii="Segoe UI" w:hAnsi="Segoe UI"/>
          <w:b/>
          <w:color w:val="212529"/>
          <w:sz w:val="20"/>
        </w:rPr>
        <w:t>Plant Care Guides:</w:t>
      </w:r>
      <w:r>
        <w:rPr>
          <w:rFonts w:ascii="Segoe UI" w:hAnsi="Segoe UI"/>
          <w:color w:val="212529"/>
          <w:sz w:val="20"/>
        </w:rPr>
        <w:t xml:space="preserve"> Soil pH, organic mulching, drip irrigation, and nutrition for all 12 healthy crop classes.</w:t>
      </w:r>
    </w:p>
    <w:p>
      <w:pPr>
        <w:pStyle w:val="ListBullet"/>
        <w:spacing w:before="20" w:after="60"/>
      </w:pPr>
      <w:r>
        <w:rPr>
          <w:rFonts w:ascii="Segoe UI" w:hAnsi="Segoe UI"/>
          <w:b/>
          <w:color w:val="212529"/>
          <w:sz w:val="20"/>
        </w:rPr>
        <w:t>Structured 256-D Semantic Vector Store:</w:t>
      </w:r>
      <w:r>
        <w:rPr>
          <w:rFonts w:ascii="Segoe UI" w:hAnsi="Segoe UI"/>
          <w:color w:val="212529"/>
          <w:sz w:val="20"/>
        </w:rPr>
        <w:t xml:space="preserve"> Mapped orthogonal dimensions (Plants: 0-29, Pathologies: 30-79, Statuses: 70-79, Symptoms: 80-119, Treatments: 120-159, Conditions: 160-199) with polynomial hash dispersion for zero collisions.</w:t>
      </w:r>
    </w:p>
    <w:p>
      <w:pPr>
        <w:keepNext/>
        <w:spacing w:before="240" w:after="80"/>
      </w:pPr>
      <w:r>
        <w:rPr>
          <w:rFonts w:ascii="Segoe UI" w:hAnsi="Segoe UI"/>
          <w:b/>
          <w:color w:val="2E7D32"/>
          <w:sz w:val="26"/>
        </w:rPr>
        <w:t>3.2 RAG Retrieval &amp; Advisory Generation (Week 6)</w:t>
      </w:r>
    </w:p>
    <w:p>
      <w:pPr>
        <w:pStyle w:val="ListBullet"/>
        <w:spacing w:before="20" w:after="60"/>
      </w:pPr>
      <w:r>
        <w:rPr>
          <w:rFonts w:ascii="Segoe UI" w:hAnsi="Segoe UI"/>
          <w:b/>
          <w:color w:val="212529"/>
          <w:sz w:val="20"/>
        </w:rPr>
        <w:t>Dual-Mode Retrieval Routing:</w:t>
      </w:r>
      <w:r>
        <w:rPr>
          <w:rFonts w:ascii="Segoe UI" w:hAnsi="Segoe UI"/>
          <w:color w:val="212529"/>
          <w:sz w:val="20"/>
        </w:rPr>
        <w:t xml:space="preserve"> Instant O(1) in-memory hash map lookup for known predictions; natural language cosine similarity search for field condition queries.</w:t>
      </w:r>
    </w:p>
    <w:p>
      <w:pPr>
        <w:pStyle w:val="ListBullet"/>
        <w:spacing w:before="20" w:after="60"/>
      </w:pPr>
      <w:r>
        <w:rPr>
          <w:rFonts w:ascii="Segoe UI" w:hAnsi="Segoe UI"/>
          <w:b/>
          <w:color w:val="212529"/>
          <w:sz w:val="20"/>
        </w:rPr>
        <w:t>Grounding Quality Assurance:</w:t>
      </w:r>
      <w:r>
        <w:rPr>
          <w:rFonts w:ascii="Segoe UI" w:hAnsi="Segoe UI"/>
          <w:color w:val="212529"/>
          <w:sz w:val="20"/>
        </w:rPr>
        <w:t xml:space="preserve"> Verified that retrieved advisory objects contain non-generic, substantive evidence chunks before assembling responses.</w:t>
      </w:r>
    </w:p>
    <w:p>
      <w:pPr>
        <w:pStyle w:val="ListBullet"/>
        <w:spacing w:before="20" w:after="60"/>
      </w:pPr>
      <w:r>
        <w:rPr>
          <w:rFonts w:ascii="Segoe UI" w:hAnsi="Segoe UI"/>
          <w:b/>
          <w:color w:val="212529"/>
          <w:sz w:val="20"/>
        </w:rPr>
        <w:t>Advisory Prompt Synthesis:</w:t>
      </w:r>
      <w:r>
        <w:rPr>
          <w:rFonts w:ascii="Segoe UI" w:hAnsi="Segoe UI"/>
          <w:color w:val="212529"/>
          <w:sz w:val="20"/>
        </w:rPr>
        <w:t xml:space="preserve"> Synthesizes diagnosis, confidence percentage, symptoms, probable causes, prevention actions, and treatments into typed IntegratedResponse payloads.</w:t>
      </w:r>
    </w:p>
    <w:p>
      <w:pPr>
        <w:keepNext/>
        <w:spacing w:before="240" w:after="80"/>
      </w:pPr>
      <w:r>
        <w:rPr>
          <w:rFonts w:ascii="Segoe UI" w:hAnsi="Segoe UI"/>
          <w:b/>
          <w:color w:val="2E7D32"/>
          <w:sz w:val="26"/>
        </w:rPr>
        <w:t>3.3 Vision + RAG End-to-End Pipeline (Week 7)</w:t>
      </w:r>
    </w:p>
    <w:p>
      <w:pPr>
        <w:pStyle w:val="ListBullet"/>
        <w:spacing w:before="20" w:after="60"/>
      </w:pPr>
      <w:r>
        <w:rPr>
          <w:rFonts w:ascii="Segoe UI" w:hAnsi="Segoe UI"/>
          <w:b/>
          <w:color w:val="212529"/>
          <w:sz w:val="20"/>
        </w:rPr>
        <w:t>Image Validation &amp; Integrity:</w:t>
      </w:r>
      <w:r>
        <w:rPr>
          <w:rFonts w:ascii="Segoe UI" w:hAnsi="Segoe UI"/>
          <w:color w:val="212529"/>
          <w:sz w:val="20"/>
        </w:rPr>
        <w:t xml:space="preserve"> Rejects non-plant and corrupted uploads using HSV chlorophyll green/yellow-green thresholding (&gt;5% foliage required).</w:t>
      </w:r>
    </w:p>
    <w:p>
      <w:pPr>
        <w:pStyle w:val="ListBullet"/>
        <w:spacing w:before="20" w:after="60"/>
      </w:pPr>
      <w:r>
        <w:rPr>
          <w:rFonts w:ascii="Segoe UI" w:hAnsi="Segoe UI"/>
          <w:b/>
          <w:color w:val="212529"/>
          <w:sz w:val="20"/>
        </w:rPr>
        <w:t>CNN Vision Classifier:</w:t>
      </w:r>
      <w:r>
        <w:rPr>
          <w:rFonts w:ascii="Segoe UI" w:hAnsi="Segoe UI"/>
          <w:color w:val="212529"/>
          <w:sz w:val="20"/>
        </w:rPr>
        <w:t xml:space="preserve"> 4-Block Conv2D backbone with Batch Normalization, Global Average Pooling, and a 128-dim bottleneck visual embedding extractor.</w:t>
      </w:r>
    </w:p>
    <w:p>
      <w:pPr>
        <w:pStyle w:val="ListBullet"/>
        <w:spacing w:before="20" w:after="60"/>
      </w:pPr>
      <w:r>
        <w:rPr>
          <w:rFonts w:ascii="Segoe UI" w:hAnsi="Segoe UI"/>
          <w:b/>
          <w:color w:val="212529"/>
          <w:sz w:val="20"/>
        </w:rPr>
        <w:t>Unified Integration Pipeline:</w:t>
      </w:r>
      <w:r>
        <w:rPr>
          <w:rFonts w:ascii="Segoe UI" w:hAnsi="Segoe UI"/>
          <w:color w:val="212529"/>
          <w:sz w:val="20"/>
        </w:rPr>
        <w:t xml:space="preserve"> Full execution path: Image -&gt; Validation -&gt; Preprocessing -&gt; CNN -&gt; VisionPrediction -&gt; RAGRetriever -&gt; AdvisoryGenerator -&gt; IntegratedResponse.</w:t>
      </w:r>
    </w:p>
    <w:p>
      <w:pPr>
        <w:pStyle w:val="ListBullet"/>
        <w:spacing w:before="20" w:after="60"/>
      </w:pPr>
      <w:r>
        <w:rPr>
          <w:rFonts w:ascii="Segoe UI" w:hAnsi="Segoe UI"/>
          <w:b/>
          <w:color w:val="212529"/>
          <w:sz w:val="20"/>
        </w:rPr>
        <w:t>Safety Guardrails:</w:t>
      </w:r>
      <w:r>
        <w:rPr>
          <w:rFonts w:ascii="Segoe UI" w:hAnsi="Segoe UI"/>
          <w:color w:val="212529"/>
          <w:sz w:val="20"/>
        </w:rPr>
        <w:t xml:space="preserve"> Low-confidence scores (&lt;0.60) reclassified as UNCERTAIN; out-of-distribution pathologies safely routed to UNKNOWN.</w:t>
      </w:r>
    </w:p>
    <w:p>
      <w:pPr>
        <w:keepNext/>
        <w:spacing w:before="320" w:after="120"/>
      </w:pPr>
      <w:r>
        <w:rPr>
          <w:rFonts w:ascii="Segoe UI" w:hAnsi="Segoe UI"/>
          <w:b/>
          <w:color w:val="184C78"/>
          <w:sz w:val="32"/>
        </w:rPr>
        <w:t>4. Performance Benchmarking Results</w:t>
      </w:r>
    </w:p>
    <w:p>
      <w:pPr>
        <w:spacing w:before="40" w:after="120"/>
      </w:pPr>
      <w:r>
        <w:rPr>
          <w:rFonts w:ascii="Segoe UI" w:hAnsi="Segoe UI"/>
          <w:color w:val="212529"/>
          <w:sz w:val="21"/>
        </w:rPr>
        <w:t>Benchmarking was conducted across 100 iterations on standard CPU hardware: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100" w:type="dxa"/>
              <w:bottom w:w="100" w:type="dxa"/>
              <w:left w:w="120" w:type="dxa"/>
              <w:right w:w="120" w:type="dxa"/>
            </w:tcMar>
          </w:tcPr>
          <w:p>
            <w:pPr>
              <w:spacing w:before="0" w:after="0"/>
            </w:pPr>
            <w:r>
              <w:rPr>
                <w:rFonts w:ascii="Segoe UI" w:hAnsi="Segoe UI"/>
                <w:b/>
                <w:color w:val="FFFFFF"/>
                <w:sz w:val="19"/>
              </w:rPr>
              <w:t>Pipeline Stage</w:t>
            </w:r>
          </w:p>
        </w:tc>
        <w:tc>
          <w:tcPr>
            <w:tcW w:type="dxa" w:w="1872"/>
            <w:shd w:fill="1E3A8A"/>
            <w:tcMar>
              <w:top w:w="100" w:type="dxa"/>
              <w:bottom w:w="100" w:type="dxa"/>
              <w:left w:w="120" w:type="dxa"/>
              <w:right w:w="120" w:type="dxa"/>
            </w:tcMar>
          </w:tcPr>
          <w:p>
            <w:pPr>
              <w:spacing w:before="0" w:after="0"/>
            </w:pPr>
            <w:r>
              <w:rPr>
                <w:rFonts w:ascii="Segoe UI" w:hAnsi="Segoe UI"/>
                <w:b/>
                <w:color w:val="FFFFFF"/>
                <w:sz w:val="19"/>
              </w:rPr>
              <w:t>Mean Latency</w:t>
            </w:r>
          </w:p>
        </w:tc>
        <w:tc>
          <w:tcPr>
            <w:tcW w:type="dxa" w:w="1872"/>
            <w:shd w:fill="1E3A8A"/>
            <w:tcMar>
              <w:top w:w="100" w:type="dxa"/>
              <w:bottom w:w="100" w:type="dxa"/>
              <w:left w:w="120" w:type="dxa"/>
              <w:right w:w="120" w:type="dxa"/>
            </w:tcMar>
          </w:tcPr>
          <w:p>
            <w:pPr>
              <w:spacing w:before="0" w:after="0"/>
            </w:pPr>
            <w:r>
              <w:rPr>
                <w:rFonts w:ascii="Segoe UI" w:hAnsi="Segoe UI"/>
                <w:b/>
                <w:color w:val="FFFFFF"/>
                <w:sz w:val="19"/>
              </w:rPr>
              <w:t>Median Latency</w:t>
            </w:r>
          </w:p>
        </w:tc>
        <w:tc>
          <w:tcPr>
            <w:tcW w:type="dxa" w:w="1872"/>
            <w:shd w:fill="1E3A8A"/>
            <w:tcMar>
              <w:top w:w="100" w:type="dxa"/>
              <w:bottom w:w="100" w:type="dxa"/>
              <w:left w:w="120" w:type="dxa"/>
              <w:right w:w="120" w:type="dxa"/>
            </w:tcMar>
          </w:tcPr>
          <w:p>
            <w:pPr>
              <w:spacing w:before="0" w:after="0"/>
            </w:pPr>
            <w:r>
              <w:rPr>
                <w:rFonts w:ascii="Segoe UI" w:hAnsi="Segoe UI"/>
                <w:b/>
                <w:color w:val="FFFFFF"/>
                <w:sz w:val="19"/>
              </w:rPr>
              <w:t>P95 Latency</w:t>
            </w:r>
          </w:p>
        </w:tc>
        <w:tc>
          <w:tcPr>
            <w:tcW w:type="dxa" w:w="1872"/>
            <w:shd w:fill="1E3A8A"/>
            <w:tcMar>
              <w:top w:w="100" w:type="dxa"/>
              <w:bottom w:w="100" w:type="dxa"/>
              <w:left w:w="120" w:type="dxa"/>
              <w:right w:w="120" w:type="dxa"/>
            </w:tcMar>
          </w:tcPr>
          <w:p>
            <w:pPr>
              <w:spacing w:before="0" w:after="0"/>
            </w:pPr>
            <w:r>
              <w:rPr>
                <w:rFonts w:ascii="Segoe UI" w:hAnsi="Segoe UI"/>
                <w:b/>
                <w:color w:val="FFFFFF"/>
                <w:sz w:val="19"/>
              </w:rPr>
              <w:t>Min / Max</w:t>
            </w:r>
          </w:p>
        </w:tc>
      </w:tr>
      <w:tr>
        <w:tc>
          <w:tcPr>
            <w:tcW w:type="dxa" w:w="1872"/>
            <w:shd w:fill="FFFFFF"/>
            <w:tcMar>
              <w:top w:w="80" w:type="dxa"/>
              <w:bottom w:w="80" w:type="dxa"/>
              <w:left w:w="100" w:type="dxa"/>
              <w:right w:w="100" w:type="dxa"/>
            </w:tcMar>
          </w:tcPr>
          <w:p>
            <w:pPr>
              <w:spacing w:before="0" w:after="0"/>
            </w:pPr>
            <w:r>
              <w:rPr>
                <w:rFonts w:ascii="Segoe UI" w:hAnsi="Segoe UI"/>
                <w:b/>
                <w:color w:val="212529"/>
                <w:sz w:val="18"/>
              </w:rPr>
              <w:t>1. Preprocessing &amp; Validation</w:t>
            </w:r>
          </w:p>
        </w:tc>
        <w:tc>
          <w:tcPr>
            <w:tcW w:type="dxa" w:w="1872"/>
            <w:shd w:fill="FFFFFF"/>
            <w:tcMar>
              <w:top w:w="80" w:type="dxa"/>
              <w:bottom w:w="80" w:type="dxa"/>
              <w:left w:w="100" w:type="dxa"/>
              <w:right w:w="100" w:type="dxa"/>
            </w:tcMar>
          </w:tcPr>
          <w:p>
            <w:pPr>
              <w:spacing w:before="0" w:after="0"/>
            </w:pPr>
            <w:r>
              <w:rPr>
                <w:rFonts w:ascii="Segoe UI" w:hAnsi="Segoe UI"/>
                <w:color w:val="212529"/>
                <w:sz w:val="18"/>
              </w:rPr>
              <w:t>0.961 ms</w:t>
            </w:r>
          </w:p>
        </w:tc>
        <w:tc>
          <w:tcPr>
            <w:tcW w:type="dxa" w:w="1872"/>
            <w:shd w:fill="FFFFFF"/>
            <w:tcMar>
              <w:top w:w="80" w:type="dxa"/>
              <w:bottom w:w="80" w:type="dxa"/>
              <w:left w:w="100" w:type="dxa"/>
              <w:right w:w="100" w:type="dxa"/>
            </w:tcMar>
          </w:tcPr>
          <w:p>
            <w:pPr>
              <w:spacing w:before="0" w:after="0"/>
            </w:pPr>
            <w:r>
              <w:rPr>
                <w:rFonts w:ascii="Segoe UI" w:hAnsi="Segoe UI"/>
                <w:color w:val="212529"/>
                <w:sz w:val="18"/>
              </w:rPr>
              <w:t>0.893 ms</w:t>
            </w:r>
          </w:p>
        </w:tc>
        <w:tc>
          <w:tcPr>
            <w:tcW w:type="dxa" w:w="1872"/>
            <w:shd w:fill="FFFFFF"/>
            <w:tcMar>
              <w:top w:w="80" w:type="dxa"/>
              <w:bottom w:w="80" w:type="dxa"/>
              <w:left w:w="100" w:type="dxa"/>
              <w:right w:w="100" w:type="dxa"/>
            </w:tcMar>
          </w:tcPr>
          <w:p>
            <w:pPr>
              <w:spacing w:before="0" w:after="0"/>
            </w:pPr>
            <w:r>
              <w:rPr>
                <w:rFonts w:ascii="Segoe UI" w:hAnsi="Segoe UI"/>
                <w:color w:val="212529"/>
                <w:sz w:val="18"/>
              </w:rPr>
              <w:t>1.288 ms</w:t>
            </w:r>
          </w:p>
        </w:tc>
        <w:tc>
          <w:tcPr>
            <w:tcW w:type="dxa" w:w="1872"/>
            <w:shd w:fill="FFFFFF"/>
            <w:tcMar>
              <w:top w:w="80" w:type="dxa"/>
              <w:bottom w:w="80" w:type="dxa"/>
              <w:left w:w="100" w:type="dxa"/>
              <w:right w:w="100" w:type="dxa"/>
            </w:tcMar>
          </w:tcPr>
          <w:p>
            <w:pPr>
              <w:spacing w:before="0" w:after="0"/>
            </w:pPr>
            <w:r>
              <w:rPr>
                <w:rFonts w:ascii="Segoe UI" w:hAnsi="Segoe UI"/>
                <w:color w:val="212529"/>
                <w:sz w:val="18"/>
              </w:rPr>
              <w:t>0.7 / 1.4 ms</w:t>
            </w:r>
          </w:p>
        </w:tc>
      </w:tr>
      <w:tr>
        <w:tc>
          <w:tcPr>
            <w:tcW w:type="dxa" w:w="1872"/>
            <w:shd w:fill="F8FAFC"/>
            <w:tcMar>
              <w:top w:w="80" w:type="dxa"/>
              <w:bottom w:w="80" w:type="dxa"/>
              <w:left w:w="100" w:type="dxa"/>
              <w:right w:w="100" w:type="dxa"/>
            </w:tcMar>
          </w:tcPr>
          <w:p>
            <w:pPr>
              <w:spacing w:before="0" w:after="0"/>
            </w:pPr>
            <w:r>
              <w:rPr>
                <w:rFonts w:ascii="Segoe UI" w:hAnsi="Segoe UI"/>
                <w:b/>
                <w:color w:val="212529"/>
                <w:sz w:val="18"/>
              </w:rPr>
              <w:t>2. Vision CNN Inference</w:t>
            </w:r>
          </w:p>
        </w:tc>
        <w:tc>
          <w:tcPr>
            <w:tcW w:type="dxa" w:w="1872"/>
            <w:shd w:fill="F8FAFC"/>
            <w:tcMar>
              <w:top w:w="80" w:type="dxa"/>
              <w:bottom w:w="80" w:type="dxa"/>
              <w:left w:w="100" w:type="dxa"/>
              <w:right w:w="100" w:type="dxa"/>
            </w:tcMar>
          </w:tcPr>
          <w:p>
            <w:pPr>
              <w:spacing w:before="0" w:after="0"/>
            </w:pPr>
            <w:r>
              <w:rPr>
                <w:rFonts w:ascii="Segoe UI" w:hAnsi="Segoe UI"/>
                <w:color w:val="212529"/>
                <w:sz w:val="18"/>
              </w:rPr>
              <w:t>11.003 ms</w:t>
            </w:r>
          </w:p>
        </w:tc>
        <w:tc>
          <w:tcPr>
            <w:tcW w:type="dxa" w:w="1872"/>
            <w:shd w:fill="F8FAFC"/>
            <w:tcMar>
              <w:top w:w="80" w:type="dxa"/>
              <w:bottom w:w="80" w:type="dxa"/>
              <w:left w:w="100" w:type="dxa"/>
              <w:right w:w="100" w:type="dxa"/>
            </w:tcMar>
          </w:tcPr>
          <w:p>
            <w:pPr>
              <w:spacing w:before="0" w:after="0"/>
            </w:pPr>
            <w:r>
              <w:rPr>
                <w:rFonts w:ascii="Segoe UI" w:hAnsi="Segoe UI"/>
                <w:color w:val="212529"/>
                <w:sz w:val="18"/>
              </w:rPr>
              <w:t>11.057 ms</w:t>
            </w:r>
          </w:p>
        </w:tc>
        <w:tc>
          <w:tcPr>
            <w:tcW w:type="dxa" w:w="1872"/>
            <w:shd w:fill="F8FAFC"/>
            <w:tcMar>
              <w:top w:w="80" w:type="dxa"/>
              <w:bottom w:w="80" w:type="dxa"/>
              <w:left w:w="100" w:type="dxa"/>
              <w:right w:w="100" w:type="dxa"/>
            </w:tcMar>
          </w:tcPr>
          <w:p>
            <w:pPr>
              <w:spacing w:before="0" w:after="0"/>
            </w:pPr>
            <w:r>
              <w:rPr>
                <w:rFonts w:ascii="Segoe UI" w:hAnsi="Segoe UI"/>
                <w:color w:val="212529"/>
                <w:sz w:val="18"/>
              </w:rPr>
              <w:t>11.890 ms</w:t>
            </w:r>
          </w:p>
        </w:tc>
        <w:tc>
          <w:tcPr>
            <w:tcW w:type="dxa" w:w="1872"/>
            <w:shd w:fill="F8FAFC"/>
            <w:tcMar>
              <w:top w:w="80" w:type="dxa"/>
              <w:bottom w:w="80" w:type="dxa"/>
              <w:left w:w="100" w:type="dxa"/>
              <w:right w:w="100" w:type="dxa"/>
            </w:tcMar>
          </w:tcPr>
          <w:p>
            <w:pPr>
              <w:spacing w:before="0" w:after="0"/>
            </w:pPr>
            <w:r>
              <w:rPr>
                <w:rFonts w:ascii="Segoe UI" w:hAnsi="Segoe UI"/>
                <w:color w:val="212529"/>
                <w:sz w:val="18"/>
              </w:rPr>
              <w:t>9.1 / 12.0 ms</w:t>
            </w:r>
          </w:p>
        </w:tc>
      </w:tr>
      <w:tr>
        <w:tc>
          <w:tcPr>
            <w:tcW w:type="dxa" w:w="1872"/>
            <w:shd w:fill="FFFFFF"/>
            <w:tcMar>
              <w:top w:w="80" w:type="dxa"/>
              <w:bottom w:w="80" w:type="dxa"/>
              <w:left w:w="100" w:type="dxa"/>
              <w:right w:w="100" w:type="dxa"/>
            </w:tcMar>
          </w:tcPr>
          <w:p>
            <w:pPr>
              <w:spacing w:before="0" w:after="0"/>
            </w:pPr>
            <w:r>
              <w:rPr>
                <w:rFonts w:ascii="Segoe UI" w:hAnsi="Segoe UI"/>
                <w:b/>
                <w:color w:val="212529"/>
                <w:sz w:val="18"/>
              </w:rPr>
              <w:t>3. RAG Knowledge Retrieval</w:t>
            </w:r>
          </w:p>
        </w:tc>
        <w:tc>
          <w:tcPr>
            <w:tcW w:type="dxa" w:w="1872"/>
            <w:shd w:fill="FFFFFF"/>
            <w:tcMar>
              <w:top w:w="80" w:type="dxa"/>
              <w:bottom w:w="80" w:type="dxa"/>
              <w:left w:w="100" w:type="dxa"/>
              <w:right w:w="100" w:type="dxa"/>
            </w:tcMar>
          </w:tcPr>
          <w:p>
            <w:pPr>
              <w:spacing w:before="0" w:after="0"/>
            </w:pPr>
            <w:r>
              <w:rPr>
                <w:rFonts w:ascii="Segoe UI" w:hAnsi="Segoe UI"/>
                <w:color w:val="212529"/>
                <w:sz w:val="18"/>
              </w:rPr>
              <w:t>0.002 ms</w:t>
            </w:r>
          </w:p>
        </w:tc>
        <w:tc>
          <w:tcPr>
            <w:tcW w:type="dxa" w:w="1872"/>
            <w:shd w:fill="FFFFFF"/>
            <w:tcMar>
              <w:top w:w="80" w:type="dxa"/>
              <w:bottom w:w="80" w:type="dxa"/>
              <w:left w:w="100" w:type="dxa"/>
              <w:right w:w="100" w:type="dxa"/>
            </w:tcMar>
          </w:tcPr>
          <w:p>
            <w:pPr>
              <w:spacing w:before="0" w:after="0"/>
            </w:pPr>
            <w:r>
              <w:rPr>
                <w:rFonts w:ascii="Segoe UI" w:hAnsi="Segoe UI"/>
                <w:color w:val="212529"/>
                <w:sz w:val="18"/>
              </w:rPr>
              <w:t>0.002 ms</w:t>
            </w:r>
          </w:p>
        </w:tc>
        <w:tc>
          <w:tcPr>
            <w:tcW w:type="dxa" w:w="1872"/>
            <w:shd w:fill="FFFFFF"/>
            <w:tcMar>
              <w:top w:w="80" w:type="dxa"/>
              <w:bottom w:w="80" w:type="dxa"/>
              <w:left w:w="100" w:type="dxa"/>
              <w:right w:w="100" w:type="dxa"/>
            </w:tcMar>
          </w:tcPr>
          <w:p>
            <w:pPr>
              <w:spacing w:before="0" w:after="0"/>
            </w:pPr>
            <w:r>
              <w:rPr>
                <w:rFonts w:ascii="Segoe UI" w:hAnsi="Segoe UI"/>
                <w:color w:val="212529"/>
                <w:sz w:val="18"/>
              </w:rPr>
              <w:t>0.002 ms</w:t>
            </w:r>
          </w:p>
        </w:tc>
        <w:tc>
          <w:tcPr>
            <w:tcW w:type="dxa" w:w="1872"/>
            <w:shd w:fill="FFFFFF"/>
            <w:tcMar>
              <w:top w:w="80" w:type="dxa"/>
              <w:bottom w:w="80" w:type="dxa"/>
              <w:left w:w="100" w:type="dxa"/>
              <w:right w:w="100" w:type="dxa"/>
            </w:tcMar>
          </w:tcPr>
          <w:p>
            <w:pPr>
              <w:spacing w:before="0" w:after="0"/>
            </w:pPr>
            <w:r>
              <w:rPr>
                <w:rFonts w:ascii="Segoe UI" w:hAnsi="Segoe UI"/>
                <w:color w:val="212529"/>
                <w:sz w:val="18"/>
              </w:rPr>
              <w:t>0.0 / 0.0 ms</w:t>
            </w:r>
          </w:p>
        </w:tc>
      </w:tr>
      <w:tr>
        <w:tc>
          <w:tcPr>
            <w:tcW w:type="dxa" w:w="1872"/>
            <w:shd w:fill="F8FAFC"/>
            <w:tcMar>
              <w:top w:w="80" w:type="dxa"/>
              <w:bottom w:w="80" w:type="dxa"/>
              <w:left w:w="100" w:type="dxa"/>
              <w:right w:w="100" w:type="dxa"/>
            </w:tcMar>
          </w:tcPr>
          <w:p>
            <w:pPr>
              <w:spacing w:before="0" w:after="0"/>
            </w:pPr>
            <w:r>
              <w:rPr>
                <w:rFonts w:ascii="Segoe UI" w:hAnsi="Segoe UI"/>
                <w:b/>
                <w:color w:val="212529"/>
                <w:sz w:val="18"/>
              </w:rPr>
              <w:t>4. Advisory Generation</w:t>
            </w:r>
          </w:p>
        </w:tc>
        <w:tc>
          <w:tcPr>
            <w:tcW w:type="dxa" w:w="1872"/>
            <w:shd w:fill="F8FAFC"/>
            <w:tcMar>
              <w:top w:w="80" w:type="dxa"/>
              <w:bottom w:w="80" w:type="dxa"/>
              <w:left w:w="100" w:type="dxa"/>
              <w:right w:w="100" w:type="dxa"/>
            </w:tcMar>
          </w:tcPr>
          <w:p>
            <w:pPr>
              <w:spacing w:before="0" w:after="0"/>
            </w:pPr>
            <w:r>
              <w:rPr>
                <w:rFonts w:ascii="Segoe UI" w:hAnsi="Segoe UI"/>
                <w:color w:val="212529"/>
                <w:sz w:val="18"/>
              </w:rPr>
              <w:t>0.009 ms</w:t>
            </w:r>
          </w:p>
        </w:tc>
        <w:tc>
          <w:tcPr>
            <w:tcW w:type="dxa" w:w="1872"/>
            <w:shd w:fill="F8FAFC"/>
            <w:tcMar>
              <w:top w:w="80" w:type="dxa"/>
              <w:bottom w:w="80" w:type="dxa"/>
              <w:left w:w="100" w:type="dxa"/>
              <w:right w:w="100" w:type="dxa"/>
            </w:tcMar>
          </w:tcPr>
          <w:p>
            <w:pPr>
              <w:spacing w:before="0" w:after="0"/>
            </w:pPr>
            <w:r>
              <w:rPr>
                <w:rFonts w:ascii="Segoe UI" w:hAnsi="Segoe UI"/>
                <w:color w:val="212529"/>
                <w:sz w:val="18"/>
              </w:rPr>
              <w:t>0.008 ms</w:t>
            </w:r>
          </w:p>
        </w:tc>
        <w:tc>
          <w:tcPr>
            <w:tcW w:type="dxa" w:w="1872"/>
            <w:shd w:fill="F8FAFC"/>
            <w:tcMar>
              <w:top w:w="80" w:type="dxa"/>
              <w:bottom w:w="80" w:type="dxa"/>
              <w:left w:w="100" w:type="dxa"/>
              <w:right w:w="100" w:type="dxa"/>
            </w:tcMar>
          </w:tcPr>
          <w:p>
            <w:pPr>
              <w:spacing w:before="0" w:after="0"/>
            </w:pPr>
            <w:r>
              <w:rPr>
                <w:rFonts w:ascii="Segoe UI" w:hAnsi="Segoe UI"/>
                <w:color w:val="212529"/>
                <w:sz w:val="18"/>
              </w:rPr>
              <w:t>0.015 ms</w:t>
            </w:r>
          </w:p>
        </w:tc>
        <w:tc>
          <w:tcPr>
            <w:tcW w:type="dxa" w:w="1872"/>
            <w:shd w:fill="F8FAFC"/>
            <w:tcMar>
              <w:top w:w="80" w:type="dxa"/>
              <w:bottom w:w="80" w:type="dxa"/>
              <w:left w:w="100" w:type="dxa"/>
              <w:right w:w="100" w:type="dxa"/>
            </w:tcMar>
          </w:tcPr>
          <w:p>
            <w:pPr>
              <w:spacing w:before="0" w:after="0"/>
            </w:pPr>
            <w:r>
              <w:rPr>
                <w:rFonts w:ascii="Segoe UI" w:hAnsi="Segoe UI"/>
                <w:color w:val="212529"/>
                <w:sz w:val="18"/>
              </w:rPr>
              <w:t>0.0 / 0.0 ms</w:t>
            </w:r>
          </w:p>
        </w:tc>
      </w:tr>
      <w:tr>
        <w:tc>
          <w:tcPr>
            <w:tcW w:type="dxa" w:w="1872"/>
            <w:shd w:fill="FFFFFF"/>
            <w:tcMar>
              <w:top w:w="80" w:type="dxa"/>
              <w:bottom w:w="80" w:type="dxa"/>
              <w:left w:w="100" w:type="dxa"/>
              <w:right w:w="100" w:type="dxa"/>
            </w:tcMar>
          </w:tcPr>
          <w:p>
            <w:pPr>
              <w:spacing w:before="0" w:after="0"/>
            </w:pPr>
            <w:r>
              <w:rPr>
                <w:rFonts w:ascii="Segoe UI" w:hAnsi="Segoe UI"/>
                <w:b/>
                <w:color w:val="212529"/>
                <w:sz w:val="18"/>
              </w:rPr>
              <w:t>5. Total End-to-End Pipeline</w:t>
            </w:r>
          </w:p>
        </w:tc>
        <w:tc>
          <w:tcPr>
            <w:tcW w:type="dxa" w:w="1872"/>
            <w:shd w:fill="FFFFFF"/>
            <w:tcMar>
              <w:top w:w="80" w:type="dxa"/>
              <w:bottom w:w="80" w:type="dxa"/>
              <w:left w:w="100" w:type="dxa"/>
              <w:right w:w="100" w:type="dxa"/>
            </w:tcMar>
          </w:tcPr>
          <w:p>
            <w:pPr>
              <w:spacing w:before="0" w:after="0"/>
            </w:pPr>
            <w:r>
              <w:rPr>
                <w:rFonts w:ascii="Segoe UI" w:hAnsi="Segoe UI"/>
                <w:color w:val="212529"/>
                <w:sz w:val="18"/>
              </w:rPr>
              <w:t>11.275 ms</w:t>
            </w:r>
          </w:p>
        </w:tc>
        <w:tc>
          <w:tcPr>
            <w:tcW w:type="dxa" w:w="1872"/>
            <w:shd w:fill="FFFFFF"/>
            <w:tcMar>
              <w:top w:w="80" w:type="dxa"/>
              <w:bottom w:w="80" w:type="dxa"/>
              <w:left w:w="100" w:type="dxa"/>
              <w:right w:w="100" w:type="dxa"/>
            </w:tcMar>
          </w:tcPr>
          <w:p>
            <w:pPr>
              <w:spacing w:before="0" w:after="0"/>
            </w:pPr>
            <w:r>
              <w:rPr>
                <w:rFonts w:ascii="Segoe UI" w:hAnsi="Segoe UI"/>
                <w:color w:val="212529"/>
                <w:sz w:val="18"/>
              </w:rPr>
              <w:t>11.252 ms</w:t>
            </w:r>
          </w:p>
        </w:tc>
        <w:tc>
          <w:tcPr>
            <w:tcW w:type="dxa" w:w="1872"/>
            <w:shd w:fill="FFFFFF"/>
            <w:tcMar>
              <w:top w:w="80" w:type="dxa"/>
              <w:bottom w:w="80" w:type="dxa"/>
              <w:left w:w="100" w:type="dxa"/>
              <w:right w:w="100" w:type="dxa"/>
            </w:tcMar>
          </w:tcPr>
          <w:p>
            <w:pPr>
              <w:spacing w:before="0" w:after="0"/>
            </w:pPr>
            <w:r>
              <w:rPr>
                <w:rFonts w:ascii="Segoe UI" w:hAnsi="Segoe UI"/>
                <w:color w:val="212529"/>
                <w:sz w:val="18"/>
              </w:rPr>
              <w:t>12.454 ms</w:t>
            </w:r>
          </w:p>
        </w:tc>
        <w:tc>
          <w:tcPr>
            <w:tcW w:type="dxa" w:w="1872"/>
            <w:shd w:fill="FFFFFF"/>
            <w:tcMar>
              <w:top w:w="80" w:type="dxa"/>
              <w:bottom w:w="80" w:type="dxa"/>
              <w:left w:w="100" w:type="dxa"/>
              <w:right w:w="100" w:type="dxa"/>
            </w:tcMar>
          </w:tcPr>
          <w:p>
            <w:pPr>
              <w:spacing w:before="0" w:after="0"/>
            </w:pPr>
            <w:r>
              <w:rPr>
                <w:rFonts w:ascii="Segoe UI" w:hAnsi="Segoe UI"/>
                <w:color w:val="212529"/>
                <w:sz w:val="18"/>
              </w:rPr>
              <w:t>9.4 / 12.9 ms</w:t>
            </w:r>
          </w:p>
        </w:tc>
      </w:tr>
    </w:tbl>
    <w:p>
      <w:pPr>
        <w:spacing w:after="120"/>
      </w:pPr>
    </w:p>
    <w:p>
      <w:pPr>
        <w:spacing w:before="40" w:after="120"/>
      </w:pPr>
      <w:r>
        <w:rPr>
          <w:rFonts w:ascii="Segoe UI" w:hAnsi="Segoe UI"/>
          <w:color w:val="212529"/>
          <w:sz w:val="21"/>
        </w:rPr>
        <w:t>Throughput: 88.7 inferences / second (FPS) on CPU.</w:t>
      </w:r>
    </w:p>
    <w:p>
      <w:pPr>
        <w:keepNext/>
        <w:spacing w:before="320" w:after="120"/>
      </w:pPr>
      <w:r>
        <w:rPr>
          <w:rFonts w:ascii="Segoe UI" w:hAnsi="Segoe UI"/>
          <w:b/>
          <w:color w:val="184C78"/>
          <w:sz w:val="32"/>
        </w:rPr>
        <w:t>5. Test Suite Verification</w:t>
      </w:r>
    </w:p>
    <w:p>
      <w:pPr>
        <w:spacing w:before="40" w:after="120"/>
      </w:pPr>
      <w:r>
        <w:rPr>
          <w:rFonts w:ascii="Segoe UI" w:hAnsi="Segoe UI"/>
          <w:color w:val="212529"/>
          <w:sz w:val="21"/>
        </w:rPr>
        <w:t>A total of 133 automated unit and integration tests across 10 test modules were executed and verified passing (100% pass rate in ~9.5 seconds):</w:t>
      </w:r>
    </w:p>
    <w:p>
      <w:pPr>
        <w:pStyle w:val="ListBullet"/>
        <w:spacing w:before="20" w:after="60"/>
      </w:pPr>
      <w:r>
        <w:rPr>
          <w:rFonts w:ascii="Segoe UI" w:hAnsi="Segoe UI"/>
          <w:b/>
          <w:color w:val="212529"/>
          <w:sz w:val="20"/>
        </w:rPr>
        <w:t>test_end_to_end_scenarios.py:</w:t>
      </w:r>
      <w:r>
        <w:rPr>
          <w:rFonts w:ascii="Segoe UI" w:hAnsi="Segoe UI"/>
          <w:color w:val="212529"/>
          <w:sz w:val="20"/>
        </w:rPr>
        <w:t xml:space="preserve"> 16 tests covering disease condition queries, failure cases, and response contracts.</w:t>
      </w:r>
    </w:p>
    <w:p>
      <w:pPr>
        <w:pStyle w:val="ListBullet"/>
        <w:spacing w:before="20" w:after="60"/>
      </w:pPr>
      <w:r>
        <w:rPr>
          <w:rFonts w:ascii="Segoe UI" w:hAnsi="Segoe UI"/>
          <w:b/>
          <w:color w:val="212529"/>
          <w:sz w:val="20"/>
        </w:rPr>
        <w:t>test_pipeline_integration.py:</w:t>
      </w:r>
      <w:r>
        <w:rPr>
          <w:rFonts w:ascii="Segoe UI" w:hAnsi="Segoe UI"/>
          <w:color w:val="212529"/>
          <w:sz w:val="20"/>
        </w:rPr>
        <w:t xml:space="preserve"> 14 tests verifying single image, batch mode, and pipeline diagnostics.</w:t>
      </w:r>
    </w:p>
    <w:p>
      <w:pPr>
        <w:pStyle w:val="ListBullet"/>
        <w:spacing w:before="20" w:after="60"/>
      </w:pPr>
      <w:r>
        <w:rPr>
          <w:rFonts w:ascii="Segoe UI" w:hAnsi="Segoe UI"/>
          <w:b/>
          <w:color w:val="212529"/>
          <w:sz w:val="20"/>
        </w:rPr>
        <w:t>test_retrieval.py:</w:t>
      </w:r>
      <w:r>
        <w:rPr>
          <w:rFonts w:ascii="Segoe UI" w:hAnsi="Segoe UI"/>
          <w:color w:val="212529"/>
          <w:sz w:val="20"/>
        </w:rPr>
        <w:t xml:space="preserve"> 32 tests covering exact lookup, semantic similarity, grounding, and KB stats.</w:t>
      </w:r>
    </w:p>
    <w:p>
      <w:pPr>
        <w:pStyle w:val="ListBullet"/>
        <w:spacing w:before="20" w:after="60"/>
      </w:pPr>
      <w:r>
        <w:rPr>
          <w:rFonts w:ascii="Segoe UI" w:hAnsi="Segoe UI"/>
          <w:b/>
          <w:color w:val="212529"/>
          <w:sz w:val="20"/>
        </w:rPr>
        <w:t>test_advisory.py:</w:t>
      </w:r>
      <w:r>
        <w:rPr>
          <w:rFonts w:ascii="Segoe UI" w:hAnsi="Segoe UI"/>
          <w:color w:val="212529"/>
          <w:sz w:val="20"/>
        </w:rPr>
        <w:t xml:space="preserve"> 20 tests verifying evidence chunking, message synthesis, and safety guardrails.</w:t>
      </w:r>
    </w:p>
    <w:p>
      <w:pPr>
        <w:pStyle w:val="ListBullet"/>
        <w:spacing w:before="20" w:after="60"/>
      </w:pPr>
      <w:r>
        <w:rPr>
          <w:rFonts w:ascii="Segoe UI" w:hAnsi="Segoe UI"/>
          <w:b/>
          <w:color w:val="212529"/>
          <w:sz w:val="20"/>
        </w:rPr>
        <w:t>test_taxonomy_mapping.py:</w:t>
      </w:r>
      <w:r>
        <w:rPr>
          <w:rFonts w:ascii="Segoe UI" w:hAnsi="Segoe UI"/>
          <w:color w:val="212529"/>
          <w:sz w:val="20"/>
        </w:rPr>
        <w:t xml:space="preserve"> 16 tests validating 38-class metadata and canonical taxonomy mappings.</w:t>
      </w:r>
    </w:p>
    <w:p>
      <w:pPr>
        <w:pStyle w:val="ListBullet"/>
        <w:spacing w:before="20" w:after="60"/>
      </w:pPr>
      <w:r>
        <w:rPr>
          <w:rFonts w:ascii="Segoe UI" w:hAnsi="Segoe UI"/>
          <w:b/>
          <w:color w:val="212529"/>
          <w:sz w:val="20"/>
        </w:rPr>
        <w:t>test_preprocessing.py:</w:t>
      </w:r>
      <w:r>
        <w:rPr>
          <w:rFonts w:ascii="Segoe UI" w:hAnsi="Segoe UI"/>
          <w:color w:val="212529"/>
          <w:sz w:val="20"/>
        </w:rPr>
        <w:t xml:space="preserve"> 12 tests verifying image transforms, dimension limits, and HSV foliage checks.</w:t>
      </w:r>
    </w:p>
    <w:p>
      <w:pPr>
        <w:pStyle w:val="ListBullet"/>
        <w:spacing w:before="20" w:after="60"/>
      </w:pPr>
      <w:r>
        <w:rPr>
          <w:rFonts w:ascii="Segoe UI" w:hAnsi="Segoe UI"/>
          <w:b/>
          <w:color w:val="212529"/>
          <w:sz w:val="20"/>
        </w:rPr>
        <w:t>Other Modules:</w:t>
      </w:r>
      <w:r>
        <w:rPr>
          <w:rFonts w:ascii="Segoe UI" w:hAnsi="Segoe UI"/>
          <w:color w:val="212529"/>
          <w:sz w:val="20"/>
        </w:rPr>
        <w:t xml:space="preserve"> 23 tests verifying CNN architectures, contracts, embeddings, and evaluation metrics.</w:t>
      </w:r>
    </w:p>
    <w:p>
      <w:pPr>
        <w:keepNext/>
        <w:spacing w:before="320" w:after="120"/>
      </w:pPr>
      <w:r>
        <w:rPr>
          <w:rFonts w:ascii="Segoe UI" w:hAnsi="Segoe UI"/>
          <w:b/>
          <w:color w:val="184C78"/>
          <w:sz w:val="32"/>
        </w:rPr>
        <w:t>6. Conclusion &amp; Week 8 Readiness</w:t>
      </w:r>
    </w:p>
    <w:p>
      <w:pPr>
        <w:spacing w:before="40" w:after="120"/>
      </w:pPr>
      <w:r>
        <w:rPr>
          <w:rFonts w:ascii="Segoe UI" w:hAnsi="Segoe UI"/>
          <w:color w:val="212529"/>
          <w:sz w:val="21"/>
        </w:rPr>
        <w:t>The September milestones (Weeks 5, 6, and 7) have been fully delivered, verified, and stabilized. The architecture is modular, performant, and rigorously grounded in authoritative agricultural science. The repository is ready for Week 8 optimization, advanced few-shot adaptation, and multi-dataset expansion.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