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e7ac60fe89334a73" /><Relationship Type="http://schemas.openxmlformats.org/package/2006/relationships/metadata/core-properties" Target="/docProps/core.xml" Id="R37f5a859bb4741f6" /><Relationship Type="http://schemas.openxmlformats.org/officeDocument/2006/relationships/extended-properties" Target="/docProps/app.xml" Id="Rd4cb895560b1428a" /><Relationship Type="http://schemas.openxmlformats.org/officeDocument/2006/relationships/custom-properties" Target="/docProps/custom.xml" Id="Rcda7e2ccd1dd4f1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rPr>
        <w:t xml:space="preserve">Breast Cancer EDA — Project Report</w:t>
      </w:r>
    </w:p>
    <w:p w14:paraId="00100002" w14:textId="00100003">
      <w:pPr>
        <w:pStyle w:val="Normal"/>
        <w:spacing w:after="120"/>
        <w:jc w:val="center"/>
      </w:pPr>
      <w:r>
        <w:rPr/>
        <w:t xml:space="preserve">Author: Subhajit Maiti</w:t>
      </w:r>
    </w:p>
    <w:p w14:paraId="00100004" w14:textId="00100005">
      <w:pPr>
        <w:pStyle w:val="Normal"/>
        <w:spacing w:after="120"/>
        <w:jc w:val="center"/>
      </w:pPr>
      <w:r>
        <w:rPr/>
        <w:t xml:space="preserve">Project: Exploratory Data Analysis on Breast Cancer Wisconsin Dataset</w:t>
      </w:r>
    </w:p>
    <w:p w14:paraId="00100006" w14:textId="00100007">
      <w:pPr>
        <w:pStyle w:val="Normal"/>
        <w:spacing w:after="360"/>
        <w:jc w:val="center"/>
      </w:pPr>
      <w:r>
        <w:rPr/>
        <w:t xml:space="preserve">Tool: IBM SkillsBuild Internship — Data Science &amp; AI</w:t>
      </w:r>
    </w:p>
    <w:p w14:paraId="00100008" w14:textId="00100009">
      <w:pPr>
        <w:pStyle w:val="Heading1"/>
        <w:spacing w:after="120"/>
      </w:pPr>
      <w:r>
        <w:rPr>
          <w:b/>
          <w:sz w:val="36"/>
        </w:rPr>
        <w:t xml:space="preserve">Table of Contents</w:t>
      </w:r>
    </w:p>
    <w:p w14:paraId="00100088" w14:textId="00100089">
      <w:r>
        <w:fldChar w:fldCharType="begin"/>
      </w:r>
      <w:r>
        <w:instrText xml:space="preserve"> TOC \o "1-3" \h \u </w:instrText>
      </w:r>
      <w:r>
        <w:fldChar w:fldCharType="separate"/>
      </w:r>
      <w:r>
        <w:t xml:space="preserve">Update field to see table of contents</w:t>
      </w:r>
      <w:r>
        <w:fldChar w:fldCharType="end"/>
      </w:r>
    </w:p>
    <w:p w14:paraId="0010000A" w14:textId="0010000B">
      <w:pPr>
        <w:pStyle w:val="Heading1"/>
        <w:spacing w:after="120"/>
      </w:pPr>
      <w:r>
        <w:rPr>
          <w:b/>
          <w:sz w:val="36"/>
        </w:rPr>
        <w:t xml:space="preserve">1. Project Overview</w:t>
      </w:r>
    </w:p>
    <w:p w14:paraId="0010000C" w14:textId="0010000D">
      <w:pPr>
        <w:pStyle w:val="Normal"/>
        <w:spacing w:after="160"/>
      </w:pPr>
      <w:r>
        <w:rPr>
          <w:sz w:val="22"/>
        </w:rPr>
        <w:t xml:space="preserve">This project performs a comprehensive Exploratory Data Analysis (EDA) on the Breast Cancer Wisconsin (Diagnostic) dataset. The goal is to uncover patterns, relationships, and statistical insights from 30 real-valued tumour features computed from digitised images of fine needle aspirates (FNA) of breast masses. The analysis supports understanding which features most strongly distinguish malignant from benign tumours — a critical step before any predictive modelling.</w:t>
      </w:r>
    </w:p>
    <w:p w14:paraId="0010000E" w14:textId="0010000F">
      <w:pPr>
        <w:pStyle w:val="Heading1"/>
        <w:spacing w:after="120"/>
      </w:pPr>
      <w:r>
        <w:rPr>
          <w:b/>
          <w:sz w:val="36"/>
        </w:rPr>
        <w:t xml:space="preserve">2. Dataset Description</w:t>
      </w:r>
    </w:p>
    <w:p w14:paraId="00100010" w14:textId="00100011">
      <w:pPr>
        <w:pStyle w:val="Normal"/>
        <w:spacing w:after="120"/>
      </w:pPr>
      <w:r>
        <w:rPr>
          <w:sz w:val="22"/>
        </w:rPr>
        <w:t xml:space="preserve">Source: UCI Machine Learning Repository — Breast Cancer Wisconsin (Diagnostic) Data Set. The dataset is also publicly available on Kaggle.</w:t>
      </w:r>
    </w:p>
    <w:p w14:paraId="00100012" w14:textId="00100013">
      <w:pPr>
        <w:pStyle w:val="Normal"/>
        <w:spacing w:after="120"/>
      </w:pPr>
      <w:r>
        <w:rPr>
          <w:sz w:val="22"/>
        </w:rPr>
        <w:t xml:space="preserve">Dataset link: https://www.kaggle.com/datasets/uciml/breast-cancer-wisconsin-data</w:t>
      </w:r>
    </w:p>
    <w:p w14:paraId="00100014" w14:textId="00100015">
      <w:pPr>
        <w:pStyle w:val="Normal"/>
        <w:spacing w:after="80"/>
      </w:pPr>
      <w:r>
        <w:rPr>
          <w:b/>
          <w:sz w:val="22"/>
        </w:rPr>
        <w:t xml:space="preserve">Key Characteristics:</w:t>
      </w:r>
    </w:p>
    <w:p w14:paraId="00100016" w14:textId="00100017">
      <w:pPr>
        <w:pStyle w:val="Normal"/>
        <w:spacing w:after="60"/>
      </w:pPr>
      <w:r>
        <w:rPr>
          <w:sz w:val="22"/>
        </w:rPr>
        <w:t xml:space="preserve">• Total samples: 569 (212 Malignant, 357 Benign)</w:t>
      </w:r>
    </w:p>
    <w:p w14:paraId="00100018" w14:textId="00100019">
      <w:pPr>
        <w:pStyle w:val="Normal"/>
        <w:spacing w:after="60"/>
      </w:pPr>
      <w:r>
        <w:rPr>
          <w:sz w:val="22"/>
        </w:rPr>
        <w:t xml:space="preserve">• Total features: 32 (including id and diagnosis label)</w:t>
      </w:r>
    </w:p>
    <w:p w14:paraId="0010001A" w14:textId="0010001B">
      <w:pPr>
        <w:pStyle w:val="Normal"/>
        <w:spacing w:after="60"/>
      </w:pPr>
      <w:r>
        <w:rPr>
          <w:sz w:val="22"/>
        </w:rPr>
        <w:t xml:space="preserve">• Feature groups: mean, standard error (SE), and worst values for 10 tumour descriptors</w:t>
      </w:r>
    </w:p>
    <w:p w14:paraId="0010001C" w14:textId="0010001D">
      <w:pPr>
        <w:pStyle w:val="Normal"/>
        <w:spacing w:after="60"/>
      </w:pPr>
      <w:r>
        <w:rPr>
          <w:sz w:val="22"/>
        </w:rPr>
        <w:t xml:space="preserve">• Target variable: diagnosis (M = Malignant, B = Benign)</w:t>
      </w:r>
    </w:p>
    <w:p w14:paraId="0010001E" w14:textId="0010001F">
      <w:pPr>
        <w:pStyle w:val="Normal"/>
        <w:spacing w:after="60"/>
      </w:pPr>
      <w:r>
        <w:rPr>
          <w:sz w:val="22"/>
        </w:rPr>
        <w:t xml:space="preserve">• Missing values: None (after removing the all-NaN trailing column 'Unnamed: 32')</w:t>
      </w:r>
    </w:p>
    <w:p w14:paraId="00100020" w14:textId="00100021">
      <w:pPr>
        <w:pStyle w:val="Normal"/>
        <w:spacing w:after="160"/>
      </w:pPr>
      <w:r>
        <w:rPr>
          <w:sz w:val="22"/>
        </w:rPr>
        <w:t xml:space="preserve">• Duplicate rows: None</w:t>
      </w:r>
    </w:p>
    <w:p w14:paraId="00100022" w14:textId="00100023">
      <w:pPr>
        <w:pStyle w:val="Normal"/>
        <w:spacing w:after="160"/>
      </w:pPr>
      <w:r>
        <w:rPr>
          <w:sz w:val="22"/>
        </w:rPr>
        <w:t xml:space="preserve">The 10 real-valued features computed for each cell nucleus are: radius, texture, perimeter, area, smoothness, compactness, concavity, concave points, symmetry, and fractal dimension. Each is recorded as its mean, standard error, and worst (largest) value, yielding 30 numerical predictors in total.</w:t>
      </w:r>
    </w:p>
    <w:p w14:paraId="00100024" w14:textId="00100025">
      <w:pPr>
        <w:pStyle w:val="Heading1"/>
        <w:spacing w:after="120"/>
      </w:pPr>
      <w:r>
        <w:rPr>
          <w:b/>
          <w:sz w:val="36"/>
        </w:rPr>
        <w:t xml:space="preserve">3. Technologies Used</w:t>
      </w:r>
    </w:p>
    <w:p w14:paraId="00100026" w14:textId="00100027">
      <w:pPr>
        <w:pStyle w:val="Normal"/>
        <w:spacing w:after="60"/>
      </w:pPr>
      <w:r>
        <w:rPr>
          <w:sz w:val="22"/>
        </w:rPr>
        <w:t xml:space="preserve">• Python 3.x — Primary programming language</w:t>
      </w:r>
    </w:p>
    <w:p w14:paraId="00100028" w14:textId="00100029">
      <w:pPr>
        <w:pStyle w:val="Normal"/>
        <w:spacing w:after="60"/>
      </w:pPr>
      <w:r>
        <w:rPr>
          <w:sz w:val="22"/>
        </w:rPr>
        <w:t xml:space="preserve">• Jupyter Notebook — Interactive development environment</w:t>
      </w:r>
    </w:p>
    <w:p w14:paraId="0010002A" w14:textId="0010002B">
      <w:pPr>
        <w:pStyle w:val="Normal"/>
        <w:spacing w:after="60"/>
      </w:pPr>
      <w:r>
        <w:rPr>
          <w:sz w:val="22"/>
        </w:rPr>
        <w:t xml:space="preserve">• Pandas — Data loading, cleaning, transformation, and statistical analysis</w:t>
      </w:r>
    </w:p>
    <w:p w14:paraId="0010002C" w14:textId="0010002D">
      <w:pPr>
        <w:pStyle w:val="Normal"/>
        <w:spacing w:after="60"/>
      </w:pPr>
      <w:r>
        <w:rPr>
          <w:sz w:val="22"/>
        </w:rPr>
        <w:t xml:space="preserve">• NumPy — Numerical computing and array operations</w:t>
      </w:r>
    </w:p>
    <w:p w14:paraId="0010002E" w14:textId="0010002F">
      <w:pPr>
        <w:pStyle w:val="Normal"/>
        <w:spacing w:after="60"/>
      </w:pPr>
      <w:r>
        <w:rPr>
          <w:sz w:val="22"/>
        </w:rPr>
        <w:t xml:space="preserve">• Matplotlib — Static visualisation and custom chart rendering</w:t>
      </w:r>
    </w:p>
    <w:p w14:paraId="00100030" w14:textId="00100031">
      <w:pPr>
        <w:pStyle w:val="Normal"/>
        <w:spacing w:after="60"/>
      </w:pPr>
      <w:r>
        <w:rPr>
          <w:sz w:val="22"/>
        </w:rPr>
        <w:t xml:space="preserve">• Seaborn — Statistical visualisation (heatmaps, violin plots)</w:t>
      </w:r>
    </w:p>
    <w:p w14:paraId="00100032" w14:textId="00100033">
      <w:pPr>
        <w:pStyle w:val="Normal"/>
        <w:spacing w:after="160"/>
      </w:pPr>
      <w:r>
        <w:rPr>
          <w:sz w:val="22"/>
        </w:rPr>
        <w:t xml:space="preserve">• Scikit-learn — Random Forest for feature importance + PCA for dimensionality reduction</w:t>
      </w:r>
    </w:p>
    <w:p w14:paraId="00100034" w14:textId="00100035">
      <w:pPr>
        <w:pStyle w:val="Heading1"/>
        <w:spacing w:after="120"/>
      </w:pPr>
      <w:r>
        <w:rPr>
          <w:b/>
          <w:sz w:val="36"/>
        </w:rPr>
        <w:t xml:space="preserve">4. Methodology</w:t>
      </w:r>
    </w:p>
    <w:p w14:paraId="00100036" w14:textId="00100037">
      <w:pPr>
        <w:pStyle w:val="Heading2"/>
        <w:spacing w:after="80"/>
      </w:pPr>
      <w:r>
        <w:rPr>
          <w:b/>
          <w:sz w:val="28"/>
        </w:rPr>
        <w:t xml:space="preserve">4.1 Data Loading &amp; Initial Inspection</w:t>
      </w:r>
    </w:p>
    <w:p w14:paraId="00100038" w14:textId="00100039">
      <w:pPr>
        <w:pStyle w:val="Normal"/>
        <w:spacing w:after="160"/>
      </w:pPr>
      <w:r>
        <w:rPr>
          <w:sz w:val="22"/>
        </w:rPr>
        <w:t xml:space="preserve">The raw CSV was loaded with Pandas. Initial inspection revealed 569 rows and 33 columns. The trailing column 'Unnamed: 32' was entirely NaN (an artefact of trailing commas in the source file) and was dropped, leaving 32 usable columns. Data types were verified — all numerical features are float64, diagnosis is an object string, and id is int64.</w:t>
      </w:r>
    </w:p>
    <w:p w14:paraId="0010003A" w14:textId="0010003B">
      <w:pPr>
        <w:pStyle w:val="Heading2"/>
        <w:spacing w:after="80"/>
      </w:pPr>
      <w:r>
        <w:rPr>
          <w:b/>
          <w:sz w:val="28"/>
        </w:rPr>
        <w:t xml:space="preserve">4.2 Missing Value Analysis</w:t>
      </w:r>
    </w:p>
    <w:p w14:paraId="0010003C" w14:textId="0010003D">
      <w:pPr>
        <w:pStyle w:val="Normal"/>
        <w:spacing w:after="160"/>
      </w:pPr>
      <w:r>
        <w:rPr>
          <w:sz w:val="22"/>
        </w:rPr>
        <w:t xml:space="preserve">After dropping the all-NaN column, no missing values were found in any remaining column. A general imputation strategy was implemented as a safeguard: numeric columns would be filled with the column median, and categorical columns with the mode. This strategy was not triggered given the clean dataset.</w:t>
      </w:r>
    </w:p>
    <w:p w14:paraId="0010003E" w14:textId="0010003F">
      <w:pPr>
        <w:pStyle w:val="Heading2"/>
        <w:spacing w:after="80"/>
      </w:pPr>
      <w:r>
        <w:rPr>
          <w:b/>
          <w:sz w:val="28"/>
        </w:rPr>
        <w:t xml:space="preserve">4.3 Duplicate Row Analysis</w:t>
      </w:r>
    </w:p>
    <w:p w14:paraId="00100040" w14:textId="00100041">
      <w:pPr>
        <w:pStyle w:val="Normal"/>
        <w:spacing w:after="160"/>
      </w:pPr>
      <w:r>
        <w:rPr>
          <w:sz w:val="22"/>
        </w:rPr>
        <w:t xml:space="preserve">No duplicate rows were found in the dataset. All 569 records are unique patient entries.</w:t>
      </w:r>
    </w:p>
    <w:p w14:paraId="00100042" w14:textId="00100043">
      <w:pPr>
        <w:pStyle w:val="Heading2"/>
        <w:spacing w:after="80"/>
      </w:pPr>
      <w:r>
        <w:rPr>
          <w:b/>
          <w:sz w:val="28"/>
        </w:rPr>
        <w:t xml:space="preserve">4.4 Outlier Detection</w:t>
      </w:r>
    </w:p>
    <w:p w14:paraId="00100044" w14:textId="00100045">
      <w:pPr>
        <w:pStyle w:val="Normal"/>
        <w:spacing w:after="160"/>
      </w:pPr>
      <w:r>
        <w:rPr>
          <w:sz w:val="22"/>
        </w:rPr>
        <w:t xml:space="preserve">The IQR (Interquartile Range) method was applied to identify outliers across all 30 numerical features (excluding id). In total, 171 rows (30.1%) had at least one outlier value in some feature. The most affected features were area_se (11.4%), radius_se (6.7%), perimeter_se (6.7%), and area_worst (6.2%). These outliers are considered clinically meaningful (extreme tumour sizes and shapes) and were retained in the dataset rather than removed.</w:t>
      </w:r>
    </w:p>
    <w:p w14:paraId="00100046" w14:textId="00100047">
      <w:pPr>
        <w:pStyle w:val="Heading2"/>
        <w:spacing w:after="80"/>
      </w:pPr>
      <w:r>
        <w:rPr>
          <w:b/>
          <w:sz w:val="28"/>
        </w:rPr>
        <w:t xml:space="preserve">4.5 Data Type Corrections &amp; Encoding</w:t>
      </w:r>
    </w:p>
    <w:p w14:paraId="00100048" w14:textId="00100049">
      <w:pPr>
        <w:pStyle w:val="Normal"/>
        <w:spacing w:after="160"/>
      </w:pPr>
      <w:r>
        <w:rPr>
          <w:sz w:val="22"/>
        </w:rPr>
        <w:t xml:space="preserve">The id column was converted to string type to prevent accidental arithmetic operations. The diagnosis column was standardised to uppercase and encoded into a new binary column: diagnosis_encoded (M = 1, B = 0), making it ready for downstream machine learning tasks.</w:t>
      </w:r>
    </w:p>
    <w:p w14:paraId="0010004A" w14:textId="0010004B">
      <w:pPr>
        <w:pStyle w:val="Heading1"/>
        <w:spacing w:after="120"/>
      </w:pPr>
      <w:r>
        <w:rPr>
          <w:b/>
          <w:sz w:val="36"/>
        </w:rPr>
        <w:t xml:space="preserve">5. Exploratory Data Analysis (EDA)</w:t>
      </w:r>
    </w:p>
    <w:p w14:paraId="0010004C" w14:textId="0010004D">
      <w:pPr>
        <w:pStyle w:val="Heading2"/>
        <w:spacing w:after="80"/>
      </w:pPr>
      <w:r>
        <w:rPr>
          <w:b/>
          <w:sz w:val="28"/>
        </w:rPr>
        <w:t xml:space="preserve">5.1 Diagnosis Distribution Analysis</w:t>
      </w:r>
    </w:p>
    <w:p w14:paraId="0010004E" w14:textId="0010004F">
      <w:pPr>
        <w:pStyle w:val="Normal"/>
        <w:spacing w:after="160"/>
      </w:pPr>
      <w:r>
        <w:rPr>
          <w:sz w:val="22"/>
        </w:rPr>
        <w:t xml:space="preserve">The dataset is moderately imbalanced: 357 Benign (62.7%) vs. 212 Malignant (37.3%) cases. Three views were created — a pie chart for proportions, a bar chart for absolute counts, and a horizontal stacked bar chart for class balance. The ~1.7:1 benign-to-malignant ratio is important context for model evaluation (accuracy alone can be misleading). See plot_01_diagnosis_distribution.png.</w:t>
      </w:r>
    </w:p>
    <w:p w14:paraId="00100050" w14:textId="00100051">
      <w:pPr>
        <w:pStyle w:val="Heading2"/>
        <w:spacing w:after="80"/>
      </w:pPr>
      <w:r>
        <w:rPr>
          <w:b/>
          <w:sz w:val="28"/>
        </w:rPr>
        <w:t xml:space="preserve">5.2 Tumour Size Characteristics Analysis</w:t>
      </w:r>
    </w:p>
    <w:p w14:paraId="00100052" w14:textId="00100053">
      <w:pPr>
        <w:pStyle w:val="Normal"/>
        <w:spacing w:after="160"/>
      </w:pPr>
      <w:r>
        <w:rPr>
          <w:sz w:val="22"/>
        </w:rPr>
        <w:t xml:space="preserve">Overlapping histograms were plotted for radius_mean, perimeter_mean, area_mean, radius_worst, perimeter_worst, and area_worst — separated by diagnosis. Malignant tumours are consistently larger in all six size features. The distributions are right-skewed due to the presence of very large malignant tumours. Mean values (shown as dashed vertical lines) confirm the systematic size difference. See plot_02_tumor_size.png.</w:t>
      </w:r>
    </w:p>
    <w:p w14:paraId="00100054" w14:textId="00100055">
      <w:pPr>
        <w:pStyle w:val="Heading2"/>
        <w:spacing w:after="80"/>
      </w:pPr>
      <w:r>
        <w:rPr>
          <w:b/>
          <w:sz w:val="28"/>
        </w:rPr>
        <w:t xml:space="preserve">5.3 Tumour Shape Irregularity Analysis</w:t>
      </w:r>
    </w:p>
    <w:p w14:paraId="00100056" w14:textId="00100057">
      <w:pPr>
        <w:pStyle w:val="Normal"/>
        <w:spacing w:after="160"/>
      </w:pPr>
      <w:r>
        <w:rPr>
          <w:sz w:val="22"/>
        </w:rPr>
        <w:t xml:space="preserve">Violin plots were used to compare shape-related features (compactness_mean, concavity_mean, concave points_mean, symmetry_mean, fractal_dimension_mean, smoothness_mean) between Malignant and Benign tumours. Malignant tumours exhibit significantly higher compactness, concavity, and concave point counts — indicating more irregular, lobulated shapes. Symmetry and fractal dimension also differ, though less dramatically. See plot_03_tumor_shape.png.</w:t>
      </w:r>
    </w:p>
    <w:p w14:paraId="00100058" w14:textId="00100059">
      <w:pPr>
        <w:pStyle w:val="Heading2"/>
        <w:spacing w:after="80"/>
      </w:pPr>
      <w:r>
        <w:rPr>
          <w:b/>
          <w:sz w:val="28"/>
        </w:rPr>
        <w:t xml:space="preserve">5.4 Correlation and Feature Dependency Analysis</w:t>
      </w:r>
    </w:p>
    <w:p w14:paraId="0010005A" w14:textId="0010005B">
      <w:pPr>
        <w:pStyle w:val="Normal"/>
        <w:spacing w:after="160"/>
      </w:pPr>
      <w:r>
        <w:rPr>
          <w:sz w:val="22"/>
        </w:rPr>
        <w:t xml:space="preserve">A full Pearson correlation heatmap (lower triangle) was computed for all 30 numerical features. Several strong positive correlations were found among size features (radius, perimeter, area) — expected from geometry. A secondary bar chart of the top-10 features most correlated with the diagnosis_encoded target revealed concave points_worst (r ≈ 0.79), perimeter_worst (r ≈ 0.78), and concave points_mean (r ≈ 0.78) as the strongest positive predictors of malignancy. See plot_04_correlation.png.</w:t>
      </w:r>
    </w:p>
    <w:p w14:paraId="0010005C" w14:textId="0010005D">
      <w:pPr>
        <w:pStyle w:val="Heading2"/>
        <w:spacing w:after="80"/>
      </w:pPr>
      <w:r>
        <w:rPr>
          <w:b/>
          <w:sz w:val="28"/>
        </w:rPr>
        <w:t xml:space="preserve">5.5 Predictive Feature Importance Analysis</w:t>
      </w:r>
    </w:p>
    <w:p w14:paraId="0010005E" w14:textId="0010005F">
      <w:pPr>
        <w:pStyle w:val="Normal"/>
        <w:spacing w:after="160"/>
      </w:pPr>
      <w:r>
        <w:rPr>
          <w:sz w:val="22"/>
        </w:rPr>
        <w:t xml:space="preserve">A Random Forest classifier (300 trees) was trained on all 30 numerical features to extract Mean Decrease in Impurity (Gini) importances. The top-ranked features were concave points_worst, perimeter_worst, concave points_mean, radius_worst, and area_worst — consistent with the correlation findings. This non-parametric, tree-based importance metric confirms that the 'worst' features (maximum cell measurements) are particularly discriminative. See plot_05_feature_importance.png.</w:t>
      </w:r>
    </w:p>
    <w:p w14:paraId="00100060" w14:textId="00100061">
      <w:pPr>
        <w:pStyle w:val="Heading2"/>
        <w:spacing w:after="80"/>
      </w:pPr>
      <w:r>
        <w:rPr>
          <w:b/>
          <w:sz w:val="28"/>
        </w:rPr>
        <w:t xml:space="preserve">5.6 Principal Component Analysis (PCA)</w:t>
      </w:r>
    </w:p>
    <w:p w14:paraId="00100062" w14:textId="00100063">
      <w:pPr>
        <w:pStyle w:val="Normal"/>
        <w:spacing w:after="160"/>
      </w:pPr>
      <w:r>
        <w:rPr>
          <w:sz w:val="22"/>
        </w:rPr>
        <w:t xml:space="preserve">PCA was applied after standardising all 30 features with StandardScaler. A scree plot showed that PC1 and PC2 together explain 63.2% of total variance — PC1 alone captures 44.3%. A 2D PCA scatter plot shows clear linear separability between Malignant (red) and Benign (blue) clusters, with minor overlap at the boundary. This demonstrates that the dataset's structure is largely captured in a low-dimensional projection, which is promising for simple classifiers. See plot_06_pca.png.</w:t>
      </w:r>
    </w:p>
    <w:p w14:paraId="00100064" w14:textId="00100065">
      <w:pPr>
        <w:pStyle w:val="Heading2"/>
        <w:spacing w:after="80"/>
      </w:pPr>
      <w:r>
        <w:rPr>
          <w:b/>
          <w:sz w:val="28"/>
        </w:rPr>
        <w:t xml:space="preserve">5.7 Malignancy Pattern Discovery</w:t>
      </w:r>
    </w:p>
    <w:p w14:paraId="00100066" w14:textId="00100067">
      <w:pPr>
        <w:pStyle w:val="Normal"/>
        <w:spacing w:after="160"/>
      </w:pPr>
      <w:r>
        <w:rPr>
          <w:sz w:val="22"/>
        </w:rPr>
        <w:t xml:space="preserve">A radar chart comparing mean normalised profiles of Malignant vs. Benign tumours for six key features (radius, texture, compactness, concavity, concave points, symmetry) visualises the overall 'shape signature' of each class. Malignant tumours score higher on every axis. Box plots for concave points_mean and radius_worst further highlight the distributional separation, with clearly higher medians and wider spreads for Malignant cases. See plot_07_malignancy_patterns.png.</w:t>
      </w:r>
    </w:p>
    <w:p w14:paraId="00100068" w14:textId="00100069">
      <w:pPr>
        <w:pStyle w:val="Heading1"/>
        <w:spacing w:after="120"/>
      </w:pPr>
      <w:r>
        <w:rPr>
          <w:b/>
          <w:sz w:val="36"/>
        </w:rPr>
        <w:t xml:space="preserve">6. Key Findings</w:t>
      </w:r>
    </w:p>
    <w:p w14:paraId="0010006A" w14:textId="0010006B">
      <w:pPr>
        <w:pStyle w:val="Normal"/>
        <w:spacing w:after="60"/>
      </w:pPr>
      <w:r>
        <w:rPr>
          <w:sz w:val="22"/>
        </w:rPr>
        <w:t xml:space="preserve">1. Size is the strongest discriminator: radius, perimeter, and area features (especially 'worst' variants) consistently separate Malignant from Benign tumours.</w:t>
      </w:r>
    </w:p>
    <w:p w14:paraId="0010006C" w14:textId="0010006D">
      <w:pPr>
        <w:pStyle w:val="Normal"/>
        <w:spacing w:after="60"/>
      </w:pPr>
      <w:r>
        <w:rPr>
          <w:sz w:val="22"/>
        </w:rPr>
        <w:t xml:space="preserve">2. Shape irregularity matters: concavity, compactness, and concave points are highly predictive of malignancy, reflecting the jagged, irregular morphology of cancerous cells.</w:t>
      </w:r>
    </w:p>
    <w:p w14:paraId="0010006E" w14:textId="0010006F">
      <w:pPr>
        <w:pStyle w:val="Normal"/>
        <w:spacing w:after="60"/>
      </w:pPr>
      <w:r>
        <w:rPr>
          <w:sz w:val="22"/>
        </w:rPr>
        <w:t xml:space="preserve">3. High multicollinearity exists among size features: radius, perimeter, and area are nearly linearly dependent, which can cause issues for linear models but is handled naturally by tree-based methods.</w:t>
      </w:r>
    </w:p>
    <w:p w14:paraId="00100070" w14:textId="00100071">
      <w:pPr>
        <w:pStyle w:val="Normal"/>
        <w:spacing w:after="60"/>
      </w:pPr>
      <w:r>
        <w:rPr>
          <w:sz w:val="22"/>
        </w:rPr>
        <w:t xml:space="preserve">4. The dataset is nearly linearly separable in PCA space: PC1 + PC2 (63.2% variance) already shows clear class separation, suggesting that even simple classifiers can achieve high accuracy.</w:t>
      </w:r>
    </w:p>
    <w:p w14:paraId="00100072" w14:textId="00100073">
      <w:pPr>
        <w:pStyle w:val="Normal"/>
        <w:spacing w:after="60"/>
      </w:pPr>
      <w:r>
        <w:rPr>
          <w:sz w:val="22"/>
        </w:rPr>
        <w:t xml:space="preserve">5. Class imbalance is mild: 62.7% benign vs. 37.3% malignant — stratified splits or appropriate metrics (F1-score, AUC-ROC) are recommended for model evaluation.</w:t>
      </w:r>
    </w:p>
    <w:p w14:paraId="00100074" w14:textId="00100075">
      <w:pPr>
        <w:pStyle w:val="Normal"/>
        <w:spacing w:after="160"/>
      </w:pPr>
      <w:r>
        <w:rPr>
          <w:sz w:val="22"/>
        </w:rPr>
        <w:t xml:space="preserve">6. Data quality is excellent: zero missing values and zero duplicates after dropping the artefact column — no imputation was required.</w:t>
      </w:r>
    </w:p>
    <w:p w14:paraId="00100076" w14:textId="00100077">
      <w:pPr>
        <w:pStyle w:val="Heading1"/>
        <w:spacing w:after="120"/>
      </w:pPr>
      <w:r>
        <w:rPr>
          <w:b/>
          <w:sz w:val="36"/>
        </w:rPr>
        <w:t xml:space="preserve">7. Conclusions</w:t>
      </w:r>
    </w:p>
    <w:p w14:paraId="00100078" w14:textId="00100079">
      <w:pPr>
        <w:pStyle w:val="Normal"/>
        <w:spacing w:after="160"/>
      </w:pPr>
      <w:r>
        <w:rPr>
          <w:sz w:val="22"/>
        </w:rPr>
        <w:t xml:space="preserve">This EDA demonstrates that the Breast Cancer Wisconsin dataset is high-quality, well-structured, and highly amenable to machine learning classification. The 'worst' feature group (maximum measurements per patient) consistently outperforms mean and SE variants in predictive power. Feature selection efforts should prioritise concave points_worst, perimeter_worst, radius_worst, and area_worst. Given the near-linear separability observed in PCA projections, a Logistic Regression or Support Vector Machine baseline is expected to yield strong results, with tree-based ensemble methods likely to push accuracy further.</w:t>
      </w:r>
    </w:p>
    <w:p w14:paraId="0010007A" w14:textId="0010007B">
      <w:pPr>
        <w:pStyle w:val="Normal"/>
        <w:spacing w:after="160"/>
      </w:pPr>
      <w:r>
        <w:rPr>
          <w:sz w:val="22"/>
        </w:rPr>
        <w:t xml:space="preserve">Future work may include: (a) building and evaluating classification models (Logistic Regression, Random Forest, XGBoost, SVM), (b) cross-validation with AUC-ROC as the primary metric, (c) feature selection to reduce redundancy among correlated predictors, and (d) SHAP or LIME-based model explainability to support clinical interpretation.</w:t>
      </w:r>
    </w:p>
    <w:p w14:paraId="0010007C" w14:textId="0010007D">
      <w:pPr>
        <w:pStyle w:val="Heading1"/>
        <w:spacing w:after="120"/>
      </w:pPr>
      <w:r>
        <w:rPr>
          <w:b/>
          <w:sz w:val="36"/>
        </w:rPr>
        <w:t xml:space="preserve">8. References</w:t>
      </w:r>
    </w:p>
    <w:p w14:paraId="0010007E" w14:textId="0010007F">
      <w:pPr>
        <w:pStyle w:val="Normal"/>
        <w:spacing w:after="60"/>
      </w:pPr>
      <w:r>
        <w:rPr>
          <w:sz w:val="22"/>
        </w:rPr>
        <w:t xml:space="preserve">1. Wolberg, W.H., Street, W.N., &amp; Mangasarian, O.L. (1995). Breast Cancer Wisconsin (Diagnostic) Data Set. UCI Machine Learning Repository. https://archive.ics.uci.edu/ml/datasets/Breast+Cancer+Wisconsin+(Diagnostic)</w:t>
      </w:r>
    </w:p>
    <w:p w14:paraId="00100080" w14:textId="00100081">
      <w:pPr>
        <w:pStyle w:val="Normal"/>
        <w:spacing w:after="60"/>
      </w:pPr>
      <w:r>
        <w:rPr>
          <w:sz w:val="22"/>
        </w:rPr>
        <w:t xml:space="preserve">2. Kaggle Dataset Mirror: https://www.kaggle.com/datasets/uciml/breast-cancer-wisconsin-data</w:t>
      </w:r>
    </w:p>
    <w:p w14:paraId="00100082" w14:textId="00100083">
      <w:pPr>
        <w:pStyle w:val="Normal"/>
        <w:spacing w:after="60"/>
      </w:pPr>
      <w:r>
        <w:rPr>
          <w:sz w:val="22"/>
        </w:rPr>
        <w:t xml:space="preserve">3. Pedregosa, F. et al. (2011). Scikit-learn: Machine Learning in Python. JMLR 12, pp. 2825–2830.</w:t>
      </w:r>
    </w:p>
    <w:p w14:paraId="00100084" w14:textId="00100085">
      <w:pPr>
        <w:pStyle w:val="Normal"/>
        <w:spacing w:after="60"/>
      </w:pPr>
      <w:r>
        <w:rPr>
          <w:sz w:val="22"/>
        </w:rPr>
        <w:t xml:space="preserve">4. Hunter, J.D. (2007). Matplotlib: A 2D graphics environment. Computing in Science &amp; Engineering, 9(3), 90–95.</w:t>
      </w:r>
    </w:p>
    <w:p w14:paraId="00100086" w14:textId="00100087">
      <w:pPr>
        <w:pStyle w:val="Normal"/>
        <w:spacing w:after="60"/>
      </w:pPr>
      <w:r>
        <w:rPr>
          <w:sz w:val="22"/>
        </w:rPr>
        <w:t xml:space="preserve">5. Waskom, M. (2021). seaborn: Statistical data visualization. Journal of Open Source Software, 6(60), 3021.</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3bd3aef8481c4d8c" /><Relationship Type="http://schemas.openxmlformats.org/officeDocument/2006/relationships/styles" Target="/word/styles.xml" Id="R68b0488de18c4163" /><Relationship Type="http://schemas.openxmlformats.org/officeDocument/2006/relationships/theme" Target="/word/theme/theme1.xml" Id="Rd2a86aadf602496d" /><Relationship Type="http://schemas.openxmlformats.org/officeDocument/2006/relationships/numbering" Target="/word/numbering.xml" Id="Rc24ab1a53be94d6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2026-09-23T13:24:13Z</dcterms:created>
  <cp:lastModifiedBy>OfficeCLI</cp:lastModifiedBy>
  <dcterms:modified xsi:type="dcterms:W3CDTF">2026-09-23T13:24:13Z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2026-09-23T13:24:15Z</vt:lpwstr>
  </op:property>
</op:Properties>
</file>