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85FA5"/>
          <w:sz w:val="44"/>
          <w:szCs w:val="44"/>
        </w:rPr>
        <w:t xml:space="preserve">E-Commerce Sales Dataset</w:t>
      </w:r>
    </w:p>
    <w:p>
      <w:pPr>
        <w:spacing w:after="40"/>
      </w:pPr>
      <w:r>
        <w:rPr>
          <w:color w:val="5F5E5A"/>
          <w:sz w:val="28"/>
          <w:szCs w:val="28"/>
        </w:rPr>
        <w:t xml:space="preserve">Descriptive Analytics Report</w:t>
      </w:r>
    </w:p>
    <w:p>
      <w:pPr>
        <w:pBdr>
          <w:bottom w:val="single" w:color="D3D1C7" w:sz="6" w:space="8"/>
        </w:pBdr>
        <w:spacing w:after="300"/>
      </w:pPr>
      <w:r>
        <w:rPr>
          <w:i/>
          <w:iCs/>
          <w:color w:val="5F5E5A"/>
          <w:sz w:val="20"/>
          <w:szCs w:val="20"/>
        </w:rPr>
        <w:t xml:space="preserve">Prepared by Subhaa  |  July 2026</w:t>
      </w:r>
    </w:p>
    <w:p>
      <w:pPr>
        <w:pStyle w:val="Heading1"/>
        <w:spacing w:after="150" w:before="300"/>
      </w:pPr>
      <w:r>
        <w:t xml:space="preserve">1. Overview</w:t>
      </w:r>
    </w:p>
    <w:p>
      <w:pPr>
        <w:spacing w:after="160"/>
      </w:pPr>
      <w:r>
        <w:t xml:space="preserve">This report presents a descriptive statistical analysis of a 1,200-row e-commerce order dataset covering January 2023 through June 2025. The dataset includes 14 fields: order and customer identifiers, product, quantity, unit price, shipping address, payment method, order status, tracking number, items in cart, coupon code, referral source, and total order price.</w:t>
      </w:r>
    </w:p>
    <w:p>
      <w:pPr>
        <w:spacing w:after="160"/>
      </w:pPr>
      <w:r>
        <w:t xml:space="preserve">Aside from the coupon code field (309 orders had no coupon applied), the dataset has no missing values.</w:t>
      </w:r>
    </w:p>
    <w:p>
      <w:pPr>
        <w:pStyle w:val="Heading1"/>
        <w:spacing w:after="150" w:before="300"/>
      </w:pPr>
      <w:r>
        <w:t xml:space="preserve">2. Basic Statistics</w:t>
      </w:r>
    </w:p>
    <w:p>
      <w:pPr>
        <w:spacing w:after="160"/>
      </w:pPr>
      <w:r>
        <w:t xml:space="preserve">Summary statistics for Total Price (Rs.), the core revenue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6F1FB" w:color="auto" w:val="clear"/>
            <w:tcMar>
              <w:top w:type="dxa" w:w="80"/>
              <w:left w:type="dxa" w:w="100"/>
              <w:bottom w:type="dxa" w:w="80"/>
              <w:right w:type="dxa" w:w="100"/>
            </w:tcMar>
          </w:tcPr>
          <w:p>
            <w:r>
              <w:rPr>
                <w:b/>
                <w:bCs/>
                <w:color w:val="185FA5"/>
                <w:sz w:val="20"/>
                <w:szCs w:val="20"/>
              </w:rPr>
              <w:t xml:space="preserve">Statistic</w:t>
            </w:r>
          </w:p>
        </w:tc>
        <w:tc>
          <w:tcPr>
            <w:tcW w:type="dxa" w:w="4500"/>
            <w:shd w:fill="E6F1FB" w:color="auto" w:val="clear"/>
            <w:tcMar>
              <w:top w:type="dxa" w:w="80"/>
              <w:left w:type="dxa" w:w="100"/>
              <w:bottom w:type="dxa" w:w="80"/>
              <w:right w:type="dxa" w:w="100"/>
            </w:tcMar>
          </w:tcPr>
          <w:p>
            <w:r>
              <w:rPr>
                <w:b/>
                <w:bCs/>
                <w:color w:val="185FA5"/>
                <w:sz w:val="20"/>
                <w:szCs w:val="20"/>
              </w:rPr>
              <w:t xml:space="preserve">Value (Rs.)</w:t>
            </w:r>
          </w:p>
        </w:tc>
      </w:tr>
      <w:tr>
        <w:tc>
          <w:tcPr>
            <w:tcW w:type="dxa" w:w="4500"/>
            <w:tcMar>
              <w:top w:type="dxa" w:w="80"/>
              <w:left w:type="dxa" w:w="100"/>
              <w:bottom w:type="dxa" w:w="80"/>
              <w:right w:type="dxa" w:w="100"/>
            </w:tcMar>
          </w:tcPr>
          <w:p>
            <w:r>
              <w:rPr>
                <w:b w:val="false"/>
                <w:bCs w:val="false"/>
                <w:color w:val="000000"/>
                <w:sz w:val="20"/>
                <w:szCs w:val="20"/>
              </w:rPr>
              <w:t xml:space="preserve">Count</w:t>
            </w:r>
          </w:p>
        </w:tc>
        <w:tc>
          <w:tcPr>
            <w:tcW w:type="dxa" w:w="4500"/>
            <w:tcMar>
              <w:top w:type="dxa" w:w="80"/>
              <w:left w:type="dxa" w:w="100"/>
              <w:bottom w:type="dxa" w:w="80"/>
              <w:right w:type="dxa" w:w="100"/>
            </w:tcMar>
          </w:tcPr>
          <w:p>
            <w:r>
              <w:rPr>
                <w:b w:val="false"/>
                <w:bCs w:val="false"/>
                <w:color w:val="000000"/>
                <w:sz w:val="20"/>
                <w:szCs w:val="20"/>
              </w:rPr>
              <w:t xml:space="preserve">1,200 orders</w:t>
            </w:r>
          </w:p>
        </w:tc>
      </w:tr>
      <w:tr>
        <w:tc>
          <w:tcPr>
            <w:tcW w:type="dxa" w:w="4500"/>
            <w:tcMar>
              <w:top w:type="dxa" w:w="80"/>
              <w:left w:type="dxa" w:w="100"/>
              <w:bottom w:type="dxa" w:w="80"/>
              <w:right w:type="dxa" w:w="100"/>
            </w:tcMar>
          </w:tcPr>
          <w:p>
            <w:r>
              <w:rPr>
                <w:b w:val="false"/>
                <w:bCs w:val="false"/>
                <w:color w:val="000000"/>
                <w:sz w:val="20"/>
                <w:szCs w:val="20"/>
              </w:rPr>
              <w:t xml:space="preserve">Mean</w:t>
            </w:r>
          </w:p>
        </w:tc>
        <w:tc>
          <w:tcPr>
            <w:tcW w:type="dxa" w:w="4500"/>
            <w:tcMar>
              <w:top w:type="dxa" w:w="80"/>
              <w:left w:type="dxa" w:w="100"/>
              <w:bottom w:type="dxa" w:w="80"/>
              <w:right w:type="dxa" w:w="100"/>
            </w:tcMar>
          </w:tcPr>
          <w:p>
            <w:r>
              <w:rPr>
                <w:b w:val="false"/>
                <w:bCs w:val="false"/>
                <w:color w:val="000000"/>
                <w:sz w:val="20"/>
                <w:szCs w:val="20"/>
              </w:rPr>
              <w:t xml:space="preserve">1,053.97</w:t>
            </w:r>
          </w:p>
        </w:tc>
      </w:tr>
      <w:tr>
        <w:tc>
          <w:tcPr>
            <w:tcW w:type="dxa" w:w="4500"/>
            <w:tcMar>
              <w:top w:type="dxa" w:w="80"/>
              <w:left w:type="dxa" w:w="100"/>
              <w:bottom w:type="dxa" w:w="80"/>
              <w:right w:type="dxa" w:w="100"/>
            </w:tcMar>
          </w:tcPr>
          <w:p>
            <w:r>
              <w:rPr>
                <w:b w:val="false"/>
                <w:bCs w:val="false"/>
                <w:color w:val="000000"/>
                <w:sz w:val="20"/>
                <w:szCs w:val="20"/>
              </w:rPr>
              <w:t xml:space="preserve">Median</w:t>
            </w:r>
          </w:p>
        </w:tc>
        <w:tc>
          <w:tcPr>
            <w:tcW w:type="dxa" w:w="4500"/>
            <w:tcMar>
              <w:top w:type="dxa" w:w="80"/>
              <w:left w:type="dxa" w:w="100"/>
              <w:bottom w:type="dxa" w:w="80"/>
              <w:right w:type="dxa" w:w="100"/>
            </w:tcMar>
          </w:tcPr>
          <w:p>
            <w:r>
              <w:rPr>
                <w:b w:val="false"/>
                <w:bCs w:val="false"/>
                <w:color w:val="000000"/>
                <w:sz w:val="20"/>
                <w:szCs w:val="20"/>
              </w:rPr>
              <w:t xml:space="preserve">823.62</w:t>
            </w:r>
          </w:p>
        </w:tc>
      </w:tr>
      <w:tr>
        <w:tc>
          <w:tcPr>
            <w:tcW w:type="dxa" w:w="4500"/>
            <w:tcMar>
              <w:top w:type="dxa" w:w="80"/>
              <w:left w:type="dxa" w:w="100"/>
              <w:bottom w:type="dxa" w:w="80"/>
              <w:right w:type="dxa" w:w="100"/>
            </w:tcMar>
          </w:tcPr>
          <w:p>
            <w:r>
              <w:rPr>
                <w:b w:val="false"/>
                <w:bCs w:val="false"/>
                <w:color w:val="000000"/>
                <w:sz w:val="20"/>
                <w:szCs w:val="20"/>
              </w:rPr>
              <w:t xml:space="preserve">Standard deviation</w:t>
            </w:r>
          </w:p>
        </w:tc>
        <w:tc>
          <w:tcPr>
            <w:tcW w:type="dxa" w:w="4500"/>
            <w:tcMar>
              <w:top w:type="dxa" w:w="80"/>
              <w:left w:type="dxa" w:w="100"/>
              <w:bottom w:type="dxa" w:w="80"/>
              <w:right w:type="dxa" w:w="100"/>
            </w:tcMar>
          </w:tcPr>
          <w:p>
            <w:r>
              <w:rPr>
                <w:b w:val="false"/>
                <w:bCs w:val="false"/>
                <w:color w:val="000000"/>
                <w:sz w:val="20"/>
                <w:szCs w:val="20"/>
              </w:rPr>
              <w:t xml:space="preserve">819.86</w:t>
            </w:r>
          </w:p>
        </w:tc>
      </w:tr>
      <w:tr>
        <w:tc>
          <w:tcPr>
            <w:tcW w:type="dxa" w:w="4500"/>
            <w:tcMar>
              <w:top w:type="dxa" w:w="80"/>
              <w:left w:type="dxa" w:w="100"/>
              <w:bottom w:type="dxa" w:w="80"/>
              <w:right w:type="dxa" w:w="100"/>
            </w:tcMar>
          </w:tcPr>
          <w:p>
            <w:r>
              <w:rPr>
                <w:b w:val="false"/>
                <w:bCs w:val="false"/>
                <w:color w:val="000000"/>
                <w:sz w:val="20"/>
                <w:szCs w:val="20"/>
              </w:rPr>
              <w:t xml:space="preserve">Minimum</w:t>
            </w:r>
          </w:p>
        </w:tc>
        <w:tc>
          <w:tcPr>
            <w:tcW w:type="dxa" w:w="4500"/>
            <w:tcMar>
              <w:top w:type="dxa" w:w="80"/>
              <w:left w:type="dxa" w:w="100"/>
              <w:bottom w:type="dxa" w:w="80"/>
              <w:right w:type="dxa" w:w="100"/>
            </w:tcMar>
          </w:tcPr>
          <w:p>
            <w:r>
              <w:rPr>
                <w:b w:val="false"/>
                <w:bCs w:val="false"/>
                <w:color w:val="000000"/>
                <w:sz w:val="20"/>
                <w:szCs w:val="20"/>
              </w:rPr>
              <w:t xml:space="preserve">11.39</w:t>
            </w:r>
          </w:p>
        </w:tc>
      </w:tr>
      <w:tr>
        <w:tc>
          <w:tcPr>
            <w:tcW w:type="dxa" w:w="4500"/>
            <w:tcMar>
              <w:top w:type="dxa" w:w="80"/>
              <w:left w:type="dxa" w:w="100"/>
              <w:bottom w:type="dxa" w:w="80"/>
              <w:right w:type="dxa" w:w="100"/>
            </w:tcMar>
          </w:tcPr>
          <w:p>
            <w:r>
              <w:rPr>
                <w:b w:val="false"/>
                <w:bCs w:val="false"/>
                <w:color w:val="000000"/>
                <w:sz w:val="20"/>
                <w:szCs w:val="20"/>
              </w:rPr>
              <w:t xml:space="preserve">Maximum</w:t>
            </w:r>
          </w:p>
        </w:tc>
        <w:tc>
          <w:tcPr>
            <w:tcW w:type="dxa" w:w="4500"/>
            <w:tcMar>
              <w:top w:type="dxa" w:w="80"/>
              <w:left w:type="dxa" w:w="100"/>
              <w:bottom w:type="dxa" w:w="80"/>
              <w:right w:type="dxa" w:w="100"/>
            </w:tcMar>
          </w:tcPr>
          <w:p>
            <w:r>
              <w:rPr>
                <w:b w:val="false"/>
                <w:bCs w:val="false"/>
                <w:color w:val="000000"/>
                <w:sz w:val="20"/>
                <w:szCs w:val="20"/>
              </w:rPr>
              <w:t xml:space="preserve">3,456.40</w:t>
            </w:r>
          </w:p>
        </w:tc>
      </w:tr>
      <w:tr>
        <w:tc>
          <w:tcPr>
            <w:tcW w:type="dxa" w:w="4500"/>
            <w:tcMar>
              <w:top w:type="dxa" w:w="80"/>
              <w:left w:type="dxa" w:w="100"/>
              <w:bottom w:type="dxa" w:w="80"/>
              <w:right w:type="dxa" w:w="100"/>
            </w:tcMar>
          </w:tcPr>
          <w:p>
            <w:r>
              <w:rPr>
                <w:b w:val="false"/>
                <w:bCs w:val="false"/>
                <w:color w:val="000000"/>
                <w:sz w:val="20"/>
                <w:szCs w:val="20"/>
              </w:rPr>
              <w:t xml:space="preserve">25th percentile</w:t>
            </w:r>
          </w:p>
        </w:tc>
        <w:tc>
          <w:tcPr>
            <w:tcW w:type="dxa" w:w="4500"/>
            <w:tcMar>
              <w:top w:type="dxa" w:w="80"/>
              <w:left w:type="dxa" w:w="100"/>
              <w:bottom w:type="dxa" w:w="80"/>
              <w:right w:type="dxa" w:w="100"/>
            </w:tcMar>
          </w:tcPr>
          <w:p>
            <w:r>
              <w:rPr>
                <w:b w:val="false"/>
                <w:bCs w:val="false"/>
                <w:color w:val="000000"/>
                <w:sz w:val="20"/>
                <w:szCs w:val="20"/>
              </w:rPr>
              <w:t xml:space="preserve">410.52</w:t>
            </w:r>
          </w:p>
        </w:tc>
      </w:tr>
      <w:tr>
        <w:tc>
          <w:tcPr>
            <w:tcW w:type="dxa" w:w="4500"/>
            <w:tcMar>
              <w:top w:type="dxa" w:w="80"/>
              <w:left w:type="dxa" w:w="100"/>
              <w:bottom w:type="dxa" w:w="80"/>
              <w:right w:type="dxa" w:w="100"/>
            </w:tcMar>
          </w:tcPr>
          <w:p>
            <w:r>
              <w:rPr>
                <w:b w:val="false"/>
                <w:bCs w:val="false"/>
                <w:color w:val="000000"/>
                <w:sz w:val="20"/>
                <w:szCs w:val="20"/>
              </w:rPr>
              <w:t xml:space="preserve">75th percentile</w:t>
            </w:r>
          </w:p>
        </w:tc>
        <w:tc>
          <w:tcPr>
            <w:tcW w:type="dxa" w:w="4500"/>
            <w:tcMar>
              <w:top w:type="dxa" w:w="80"/>
              <w:left w:type="dxa" w:w="100"/>
              <w:bottom w:type="dxa" w:w="80"/>
              <w:right w:type="dxa" w:w="100"/>
            </w:tcMar>
          </w:tcPr>
          <w:p>
            <w:r>
              <w:rPr>
                <w:b w:val="false"/>
                <w:bCs w:val="false"/>
                <w:color w:val="000000"/>
                <w:sz w:val="20"/>
                <w:szCs w:val="20"/>
              </w:rPr>
              <w:t xml:space="preserve">1,578.48</w:t>
            </w:r>
          </w:p>
        </w:tc>
      </w:tr>
    </w:tbl>
    <w:p>
      <w:pPr>
        <w:spacing w:after="150"/>
      </w:pPr>
    </w:p>
    <w:p>
      <w:pPr>
        <w:spacing w:after="160"/>
      </w:pPr>
      <w:r>
        <w:t xml:space="preserve">The mean (Rs. 1,053.97) is noticeably higher than the median (Rs. 823.62), indicating a right-skewed distribution: most orders are modest in value, while a smaller number of high-value orders pull the average upward.</w:t>
      </w:r>
    </w:p>
    <w:p>
      <w:pPr>
        <w:spacing w:after="200"/>
      </w:pPr>
      <w:r>
        <w:drawing>
          <wp:inline distT="0" distB="0" distL="0" distR="0">
            <wp:extent cx="55245000" cy="235896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 cy="23589615"/>
                    </a:xfrm>
                    <a:prstGeom prst="rect">
                      <a:avLst/>
                    </a:prstGeom>
                  </pic:spPr>
                </pic:pic>
              </a:graphicData>
            </a:graphic>
          </wp:inline>
        </w:drawing>
      </w:r>
    </w:p>
    <w:p>
      <w:pPr>
        <w:pStyle w:val="Heading1"/>
        <w:spacing w:after="150" w:before="300"/>
      </w:pPr>
      <w:r>
        <w:t xml:space="preserve">3. Trends</w:t>
      </w:r>
    </w:p>
    <w:p>
      <w:pPr>
        <w:pStyle w:val="Heading2"/>
        <w:spacing w:after="120" w:before="250"/>
      </w:pPr>
      <w:r>
        <w:t xml:space="preserve">3.1 Revenue over time</w:t>
      </w:r>
    </w:p>
    <w:p>
      <w:pPr>
        <w:spacing w:after="200"/>
      </w:pPr>
      <w:r>
        <w:drawing>
          <wp:inline distT="0" distB="0" distL="0" distR="0">
            <wp:extent cx="55245000" cy="235896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 cy="23589615"/>
                    </a:xfrm>
                    <a:prstGeom prst="rect">
                      <a:avLst/>
                    </a:prstGeom>
                  </pic:spPr>
                </pic:pic>
              </a:graphicData>
            </a:graphic>
          </wp:inline>
        </w:drawing>
      </w:r>
    </w:p>
    <w:p>
      <w:pPr>
        <w:spacing w:after="160"/>
      </w:pPr>
      <w:r>
        <w:t xml:space="preserve">Monthly revenue fluctuates between roughly Rs. 28,000 and Rs. 68,000 with no sustained upward or downward trend across the two and a half years of data. This suggests either a stable, mature sales pattern or a dataset without built-in seasonality. Note that 2025 shows a lower yearly total simply because that year's data ends in June, not because of an actual decline.</w:t>
      </w:r>
    </w:p>
    <w:p>
      <w:pPr>
        <w:pStyle w:val="Heading2"/>
        <w:spacing w:after="120" w:before="250"/>
      </w:pPr>
      <w:r>
        <w:t xml:space="preserve">3.2 Revenue by product</w:t>
      </w:r>
    </w:p>
    <w:p>
      <w:pPr>
        <w:spacing w:after="200"/>
      </w:pPr>
      <w:r>
        <w:drawing>
          <wp:inline distT="0" distB="0" distL="0" distR="0">
            <wp:extent cx="55245000" cy="235896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 cy="23589615"/>
                    </a:xfrm>
                    <a:prstGeom prst="rect">
                      <a:avLst/>
                    </a:prstGeom>
                  </pic:spPr>
                </pic:pic>
              </a:graphicData>
            </a:graphic>
          </wp:inline>
        </w:drawing>
      </w:r>
    </w:p>
    <w:p>
      <w:pPr>
        <w:spacing w:after="160"/>
      </w:pPr>
      <w:r>
        <w:t xml:space="preserve">Revenue is spread fairly evenly across the seven products offered. Chairs (Rs. 195,620), Printers (Rs. 195,613), and Laptops (Rs. 192,127) lead, while Phones trail at Rs. 151,722 — a gap of about 22%, not a dominant or negligible category.</w:t>
      </w:r>
    </w:p>
    <w:p>
      <w:pPr>
        <w:pStyle w:val="Heading2"/>
        <w:spacing w:after="120" w:before="250"/>
      </w:pPr>
      <w:r>
        <w:t xml:space="preserve">3.3 Payment method, order status, and referral source</w:t>
      </w:r>
    </w:p>
    <w:p>
      <w:pPr>
        <w:spacing w:after="160"/>
      </w:pPr>
      <w:r>
        <w:t xml:space="preserve">Order counts and average values are near-identical across payment methods (Online, Cash, Credit Card, Debit Card, Gift Card — each 230-260 orders, Rs. 1,000-1,130 average) and referral sources (Instagram, Email, Google, Facebook, Referral — each 220-260 orders, similar averages). One notable pattern: Cancelled orders carry the highest average value (Rs. 1,105.58), while Returned orders carry the lowest (Rs. 984.93) — a Rs. 121 gap that could merit investigation in a real business setting, since it hints that higher-value orders may be somewhat more prone to cancellation.</w:t>
      </w:r>
    </w:p>
    <w:p>
      <w:pPr>
        <w:pStyle w:val="Heading2"/>
        <w:spacing w:after="120" w:before="250"/>
      </w:pPr>
      <w:r>
        <w:t xml:space="preserve">3.4 Coupons and customer repeat rate</w:t>
      </w:r>
    </w:p>
    <w:p>
      <w:pPr>
        <w:spacing w:after="160"/>
      </w:pPr>
      <w:r>
        <w:t xml:space="preserve">Orders that used a coupon averaged Rs. 1,057 versus Rs. 1,043 for orders without one — a negligible difference, suggesting coupon usage is not strongly linked to order size here. Separately, the dataset contains 1,189 unique customers across 1,200 orders, with only 11 customers placing more than one order — consistent with a broad, one-time-acquisition sales pattern rather than a repeat-purchase-driven business.</w:t>
      </w:r>
    </w:p>
    <w:p>
      <w:pPr>
        <w:pStyle w:val="Heading2"/>
        <w:spacing w:after="120" w:before="250"/>
      </w:pPr>
      <w:r>
        <w:t xml:space="preserve">3.5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E6F1FB" w:color="auto" w:val="clear"/>
            <w:tcMar>
              <w:top w:type="dxa" w:w="80"/>
              <w:left w:type="dxa" w:w="100"/>
              <w:bottom w:type="dxa" w:w="80"/>
              <w:right w:type="dxa" w:w="100"/>
            </w:tcMar>
          </w:tcPr>
          <w:p>
            <w:r>
              <w:rPr>
                <w:b/>
                <w:bCs/>
                <w:color w:val="185FA5"/>
                <w:sz w:val="20"/>
                <w:szCs w:val="20"/>
              </w:rPr>
              <w:t xml:space="preserve">Variable pair</w:t>
            </w:r>
          </w:p>
        </w:tc>
        <w:tc>
          <w:tcPr>
            <w:tcW w:type="dxa" w:w="3000"/>
            <w:shd w:fill="E6F1FB" w:color="auto" w:val="clear"/>
            <w:tcMar>
              <w:top w:type="dxa" w:w="80"/>
              <w:left w:type="dxa" w:w="100"/>
              <w:bottom w:type="dxa" w:w="80"/>
              <w:right w:type="dxa" w:w="100"/>
            </w:tcMar>
          </w:tcPr>
          <w:p>
            <w:r>
              <w:rPr>
                <w:b/>
                <w:bCs/>
                <w:color w:val="185FA5"/>
                <w:sz w:val="20"/>
                <w:szCs w:val="20"/>
              </w:rPr>
              <w:t xml:space="preserve">Correlation (r)</w:t>
            </w:r>
          </w:p>
        </w:tc>
      </w:tr>
      <w:tr>
        <w:tc>
          <w:tcPr>
            <w:tcW w:type="dxa" w:w="6000"/>
            <w:tcMar>
              <w:top w:type="dxa" w:w="80"/>
              <w:left w:type="dxa" w:w="100"/>
              <w:bottom w:type="dxa" w:w="80"/>
              <w:right w:type="dxa" w:w="100"/>
            </w:tcMar>
          </w:tcPr>
          <w:p>
            <w:r>
              <w:rPr>
                <w:b w:val="false"/>
                <w:bCs w:val="false"/>
                <w:color w:val="000000"/>
                <w:sz w:val="20"/>
                <w:szCs w:val="20"/>
              </w:rPr>
              <w:t xml:space="preserve">Total Price vs. Unit Price</w:t>
            </w:r>
          </w:p>
        </w:tc>
        <w:tc>
          <w:tcPr>
            <w:tcW w:type="dxa" w:w="3000"/>
            <w:tcMar>
              <w:top w:type="dxa" w:w="80"/>
              <w:left w:type="dxa" w:w="100"/>
              <w:bottom w:type="dxa" w:w="80"/>
              <w:right w:type="dxa" w:w="100"/>
            </w:tcMar>
          </w:tcPr>
          <w:p>
            <w:r>
              <w:rPr>
                <w:b w:val="false"/>
                <w:bCs w:val="false"/>
                <w:color w:val="000000"/>
                <w:sz w:val="20"/>
                <w:szCs w:val="20"/>
              </w:rPr>
              <w:t xml:space="preserve">0.72</w:t>
            </w:r>
          </w:p>
        </w:tc>
      </w:tr>
      <w:tr>
        <w:tc>
          <w:tcPr>
            <w:tcW w:type="dxa" w:w="6000"/>
            <w:tcMar>
              <w:top w:type="dxa" w:w="80"/>
              <w:left w:type="dxa" w:w="100"/>
              <w:bottom w:type="dxa" w:w="80"/>
              <w:right w:type="dxa" w:w="100"/>
            </w:tcMar>
          </w:tcPr>
          <w:p>
            <w:r>
              <w:rPr>
                <w:b w:val="false"/>
                <w:bCs w:val="false"/>
                <w:color w:val="000000"/>
                <w:sz w:val="20"/>
                <w:szCs w:val="20"/>
              </w:rPr>
              <w:t xml:space="preserve">Total Price vs. Quantity</w:t>
            </w:r>
          </w:p>
        </w:tc>
        <w:tc>
          <w:tcPr>
            <w:tcW w:type="dxa" w:w="3000"/>
            <w:tcMar>
              <w:top w:type="dxa" w:w="80"/>
              <w:left w:type="dxa" w:w="100"/>
              <w:bottom w:type="dxa" w:w="80"/>
              <w:right w:type="dxa" w:w="100"/>
            </w:tcMar>
          </w:tcPr>
          <w:p>
            <w:r>
              <w:rPr>
                <w:b w:val="false"/>
                <w:bCs w:val="false"/>
                <w:color w:val="000000"/>
                <w:sz w:val="20"/>
                <w:szCs w:val="20"/>
              </w:rPr>
              <w:t xml:space="preserve">0.62</w:t>
            </w:r>
          </w:p>
        </w:tc>
      </w:tr>
      <w:tr>
        <w:tc>
          <w:tcPr>
            <w:tcW w:type="dxa" w:w="6000"/>
            <w:tcMar>
              <w:top w:type="dxa" w:w="80"/>
              <w:left w:type="dxa" w:w="100"/>
              <w:bottom w:type="dxa" w:w="80"/>
              <w:right w:type="dxa" w:w="100"/>
            </w:tcMar>
          </w:tcPr>
          <w:p>
            <w:r>
              <w:rPr>
                <w:b w:val="false"/>
                <w:bCs w:val="false"/>
                <w:color w:val="000000"/>
                <w:sz w:val="20"/>
                <w:szCs w:val="20"/>
              </w:rPr>
              <w:t xml:space="preserve">Total Price vs. Items in Cart</w:t>
            </w:r>
          </w:p>
        </w:tc>
        <w:tc>
          <w:tcPr>
            <w:tcW w:type="dxa" w:w="3000"/>
            <w:tcMar>
              <w:top w:type="dxa" w:w="80"/>
              <w:left w:type="dxa" w:w="100"/>
              <w:bottom w:type="dxa" w:w="80"/>
              <w:right w:type="dxa" w:w="100"/>
            </w:tcMar>
          </w:tcPr>
          <w:p>
            <w:r>
              <w:rPr>
                <w:b w:val="false"/>
                <w:bCs w:val="false"/>
                <w:color w:val="000000"/>
                <w:sz w:val="20"/>
                <w:szCs w:val="20"/>
              </w:rPr>
              <w:t xml:space="preserve">0.39</w:t>
            </w:r>
          </w:p>
        </w:tc>
      </w:tr>
      <w:tr>
        <w:tc>
          <w:tcPr>
            <w:tcW w:type="dxa" w:w="6000"/>
            <w:tcMar>
              <w:top w:type="dxa" w:w="80"/>
              <w:left w:type="dxa" w:w="100"/>
              <w:bottom w:type="dxa" w:w="80"/>
              <w:right w:type="dxa" w:w="100"/>
            </w:tcMar>
          </w:tcPr>
          <w:p>
            <w:r>
              <w:rPr>
                <w:b w:val="false"/>
                <w:bCs w:val="false"/>
                <w:color w:val="000000"/>
                <w:sz w:val="20"/>
                <w:szCs w:val="20"/>
              </w:rPr>
              <w:t xml:space="preserve">Quantity vs. Items in Cart</w:t>
            </w:r>
          </w:p>
        </w:tc>
        <w:tc>
          <w:tcPr>
            <w:tcW w:type="dxa" w:w="3000"/>
            <w:tcMar>
              <w:top w:type="dxa" w:w="80"/>
              <w:left w:type="dxa" w:w="100"/>
              <w:bottom w:type="dxa" w:w="80"/>
              <w:right w:type="dxa" w:w="100"/>
            </w:tcMar>
          </w:tcPr>
          <w:p>
            <w:r>
              <w:rPr>
                <w:b w:val="false"/>
                <w:bCs w:val="false"/>
                <w:color w:val="000000"/>
                <w:sz w:val="20"/>
                <w:szCs w:val="20"/>
              </w:rPr>
              <w:t xml:space="preserve">0.65</w:t>
            </w:r>
          </w:p>
        </w:tc>
      </w:tr>
    </w:tbl>
    <w:p>
      <w:pPr>
        <w:spacing w:after="150"/>
      </w:pPr>
    </w:p>
    <w:p>
      <w:pPr>
        <w:spacing w:after="160"/>
      </w:pPr>
      <w:r>
        <w:t xml:space="preserve">Total order value is driven most strongly by unit price and quantity, as expected. Items in cart is a weaker predictor of total price, since it reflects browsing behavior more than final purchase size.</w:t>
      </w:r>
    </w:p>
    <w:p>
      <w:pPr>
        <w:pStyle w:val="Heading1"/>
        <w:spacing w:after="150" w:before="300"/>
      </w:pPr>
      <w:r>
        <w:t xml:space="preserve">4. Outlier Analysis</w:t>
      </w:r>
    </w:p>
    <w:p>
      <w:pPr>
        <w:spacing w:after="160"/>
      </w:pPr>
      <w:r>
        <w:t xml:space="preserve">Using the interquartile range (IQR) method on Total Price (upper bound = Q3 + 1.5 x IQR = Rs. 3,330.41), 8 of the 1,200 orders (0.67%) are flagged as statistical outliers, all falling between Rs. 3,334.00 and Rs. 3,456.40.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900"/>
        <w:gridCol w:w="1800"/>
      </w:tblGrid>
      <w:tr>
        <w:tc>
          <w:tcPr>
            <w:tcW w:type="dxa" w:w="2000"/>
            <w:shd w:fill="E6F1FB" w:color="auto" w:val="clear"/>
            <w:tcMar>
              <w:top w:type="dxa" w:w="80"/>
              <w:left w:type="dxa" w:w="100"/>
              <w:bottom w:type="dxa" w:w="80"/>
              <w:right w:type="dxa" w:w="100"/>
            </w:tcMar>
          </w:tcPr>
          <w:p>
            <w:r>
              <w:rPr>
                <w:b/>
                <w:bCs/>
                <w:color w:val="185FA5"/>
                <w:sz w:val="20"/>
                <w:szCs w:val="20"/>
              </w:rPr>
              <w:t xml:space="preserve">Order ID</w:t>
            </w:r>
          </w:p>
        </w:tc>
        <w:tc>
          <w:tcPr>
            <w:tcW w:type="dxa" w:w="1800"/>
            <w:shd w:fill="E6F1FB" w:color="auto" w:val="clear"/>
            <w:tcMar>
              <w:top w:type="dxa" w:w="80"/>
              <w:left w:type="dxa" w:w="100"/>
              <w:bottom w:type="dxa" w:w="80"/>
              <w:right w:type="dxa" w:w="100"/>
            </w:tcMar>
          </w:tcPr>
          <w:p>
            <w:r>
              <w:rPr>
                <w:b/>
                <w:bCs/>
                <w:color w:val="185FA5"/>
                <w:sz w:val="20"/>
                <w:szCs w:val="20"/>
              </w:rPr>
              <w:t xml:space="preserve">Product</w:t>
            </w:r>
          </w:p>
        </w:tc>
        <w:tc>
          <w:tcPr>
            <w:tcW w:type="dxa" w:w="1500"/>
            <w:shd w:fill="E6F1FB" w:color="auto" w:val="clear"/>
            <w:tcMar>
              <w:top w:type="dxa" w:w="80"/>
              <w:left w:type="dxa" w:w="100"/>
              <w:bottom w:type="dxa" w:w="80"/>
              <w:right w:type="dxa" w:w="100"/>
            </w:tcMar>
          </w:tcPr>
          <w:p>
            <w:r>
              <w:rPr>
                <w:b/>
                <w:bCs/>
                <w:color w:val="185FA5"/>
                <w:sz w:val="20"/>
                <w:szCs w:val="20"/>
              </w:rPr>
              <w:t xml:space="preserve">Quantity</w:t>
            </w:r>
          </w:p>
        </w:tc>
        <w:tc>
          <w:tcPr>
            <w:tcW w:type="dxa" w:w="1900"/>
            <w:shd w:fill="E6F1FB" w:color="auto" w:val="clear"/>
            <w:tcMar>
              <w:top w:type="dxa" w:w="80"/>
              <w:left w:type="dxa" w:w="100"/>
              <w:bottom w:type="dxa" w:w="80"/>
              <w:right w:type="dxa" w:w="100"/>
            </w:tcMar>
          </w:tcPr>
          <w:p>
            <w:r>
              <w:rPr>
                <w:b/>
                <w:bCs/>
                <w:color w:val="185FA5"/>
                <w:sz w:val="20"/>
                <w:szCs w:val="20"/>
              </w:rPr>
              <w:t xml:space="preserve">Unit Price (Rs.)</w:t>
            </w:r>
          </w:p>
        </w:tc>
        <w:tc>
          <w:tcPr>
            <w:tcW w:type="dxa" w:w="1800"/>
            <w:shd w:fill="E6F1FB" w:color="auto" w:val="clear"/>
            <w:tcMar>
              <w:top w:type="dxa" w:w="80"/>
              <w:left w:type="dxa" w:w="100"/>
              <w:bottom w:type="dxa" w:w="80"/>
              <w:right w:type="dxa" w:w="100"/>
            </w:tcMar>
          </w:tcPr>
          <w:p>
            <w:r>
              <w:rPr>
                <w:b/>
                <w:bCs/>
                <w:color w:val="185FA5"/>
                <w:sz w:val="20"/>
                <w:szCs w:val="20"/>
              </w:rPr>
              <w:t xml:space="preserve">Total Price (Rs.)</w:t>
            </w:r>
          </w:p>
        </w:tc>
      </w:tr>
      <w:tr>
        <w:tc>
          <w:tcPr>
            <w:tcW w:type="dxa" w:w="2000"/>
            <w:tcMar>
              <w:top w:type="dxa" w:w="80"/>
              <w:left w:type="dxa" w:w="100"/>
              <w:bottom w:type="dxa" w:w="80"/>
              <w:right w:type="dxa" w:w="100"/>
            </w:tcMar>
          </w:tcPr>
          <w:p>
            <w:r>
              <w:rPr>
                <w:b w:val="false"/>
                <w:bCs w:val="false"/>
                <w:color w:val="000000"/>
                <w:sz w:val="20"/>
                <w:szCs w:val="20"/>
              </w:rPr>
              <w:t xml:space="preserve">ORD200789</w:t>
            </w:r>
          </w:p>
        </w:tc>
        <w:tc>
          <w:tcPr>
            <w:tcW w:type="dxa" w:w="1800"/>
            <w:tcMar>
              <w:top w:type="dxa" w:w="80"/>
              <w:left w:type="dxa" w:w="100"/>
              <w:bottom w:type="dxa" w:w="80"/>
              <w:right w:type="dxa" w:w="100"/>
            </w:tcMar>
          </w:tcPr>
          <w:p>
            <w:r>
              <w:rPr>
                <w:b w:val="false"/>
                <w:bCs w:val="false"/>
                <w:color w:val="000000"/>
                <w:sz w:val="20"/>
                <w:szCs w:val="20"/>
              </w:rPr>
              <w:t xml:space="preserve">Tablet</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691.28</w:t>
            </w:r>
          </w:p>
        </w:tc>
        <w:tc>
          <w:tcPr>
            <w:tcW w:type="dxa" w:w="1800"/>
            <w:tcMar>
              <w:top w:type="dxa" w:w="80"/>
              <w:left w:type="dxa" w:w="100"/>
              <w:bottom w:type="dxa" w:w="80"/>
              <w:right w:type="dxa" w:w="100"/>
            </w:tcMar>
          </w:tcPr>
          <w:p>
            <w:r>
              <w:rPr>
                <w:b w:val="false"/>
                <w:bCs w:val="false"/>
                <w:color w:val="000000"/>
                <w:sz w:val="20"/>
                <w:szCs w:val="20"/>
              </w:rPr>
              <w:t xml:space="preserve">3,456.40</w:t>
            </w:r>
          </w:p>
        </w:tc>
      </w:tr>
      <w:tr>
        <w:tc>
          <w:tcPr>
            <w:tcW w:type="dxa" w:w="2000"/>
            <w:tcMar>
              <w:top w:type="dxa" w:w="80"/>
              <w:left w:type="dxa" w:w="100"/>
              <w:bottom w:type="dxa" w:w="80"/>
              <w:right w:type="dxa" w:w="100"/>
            </w:tcMar>
          </w:tcPr>
          <w:p>
            <w:r>
              <w:rPr>
                <w:b w:val="false"/>
                <w:bCs w:val="false"/>
                <w:color w:val="000000"/>
                <w:sz w:val="20"/>
                <w:szCs w:val="20"/>
              </w:rPr>
              <w:t xml:space="preserve">ORD201122</w:t>
            </w:r>
          </w:p>
        </w:tc>
        <w:tc>
          <w:tcPr>
            <w:tcW w:type="dxa" w:w="1800"/>
            <w:tcMar>
              <w:top w:type="dxa" w:w="80"/>
              <w:left w:type="dxa" w:w="100"/>
              <w:bottom w:type="dxa" w:w="80"/>
              <w:right w:type="dxa" w:w="100"/>
            </w:tcMar>
          </w:tcPr>
          <w:p>
            <w:r>
              <w:rPr>
                <w:b w:val="false"/>
                <w:bCs w:val="false"/>
                <w:color w:val="000000"/>
                <w:sz w:val="20"/>
                <w:szCs w:val="20"/>
              </w:rPr>
              <w:t xml:space="preserve">Monitor</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678.19</w:t>
            </w:r>
          </w:p>
        </w:tc>
        <w:tc>
          <w:tcPr>
            <w:tcW w:type="dxa" w:w="1800"/>
            <w:tcMar>
              <w:top w:type="dxa" w:w="80"/>
              <w:left w:type="dxa" w:w="100"/>
              <w:bottom w:type="dxa" w:w="80"/>
              <w:right w:type="dxa" w:w="100"/>
            </w:tcMar>
          </w:tcPr>
          <w:p>
            <w:r>
              <w:rPr>
                <w:b w:val="false"/>
                <w:bCs w:val="false"/>
                <w:color w:val="000000"/>
                <w:sz w:val="20"/>
                <w:szCs w:val="20"/>
              </w:rPr>
              <w:t xml:space="preserve">3,390.95</w:t>
            </w:r>
          </w:p>
        </w:tc>
      </w:tr>
      <w:tr>
        <w:tc>
          <w:tcPr>
            <w:tcW w:type="dxa" w:w="2000"/>
            <w:tcMar>
              <w:top w:type="dxa" w:w="80"/>
              <w:left w:type="dxa" w:w="100"/>
              <w:bottom w:type="dxa" w:w="80"/>
              <w:right w:type="dxa" w:w="100"/>
            </w:tcMar>
          </w:tcPr>
          <w:p>
            <w:r>
              <w:rPr>
                <w:b w:val="false"/>
                <w:bCs w:val="false"/>
                <w:color w:val="000000"/>
                <w:sz w:val="20"/>
                <w:szCs w:val="20"/>
              </w:rPr>
              <w:t xml:space="preserve">ORD200632</w:t>
            </w:r>
          </w:p>
        </w:tc>
        <w:tc>
          <w:tcPr>
            <w:tcW w:type="dxa" w:w="1800"/>
            <w:tcMar>
              <w:top w:type="dxa" w:w="80"/>
              <w:left w:type="dxa" w:w="100"/>
              <w:bottom w:type="dxa" w:w="80"/>
              <w:right w:type="dxa" w:w="100"/>
            </w:tcMar>
          </w:tcPr>
          <w:p>
            <w:r>
              <w:rPr>
                <w:b w:val="false"/>
                <w:bCs w:val="false"/>
                <w:color w:val="000000"/>
                <w:sz w:val="20"/>
                <w:szCs w:val="20"/>
              </w:rPr>
              <w:t xml:space="preserve">Laptop</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678.16</w:t>
            </w:r>
          </w:p>
        </w:tc>
        <w:tc>
          <w:tcPr>
            <w:tcW w:type="dxa" w:w="1800"/>
            <w:tcMar>
              <w:top w:type="dxa" w:w="80"/>
              <w:left w:type="dxa" w:w="100"/>
              <w:bottom w:type="dxa" w:w="80"/>
              <w:right w:type="dxa" w:w="100"/>
            </w:tcMar>
          </w:tcPr>
          <w:p>
            <w:r>
              <w:rPr>
                <w:b w:val="false"/>
                <w:bCs w:val="false"/>
                <w:color w:val="000000"/>
                <w:sz w:val="20"/>
                <w:szCs w:val="20"/>
              </w:rPr>
              <w:t xml:space="preserve">3,390.80</w:t>
            </w:r>
          </w:p>
        </w:tc>
      </w:tr>
      <w:tr>
        <w:tc>
          <w:tcPr>
            <w:tcW w:type="dxa" w:w="2000"/>
            <w:tcMar>
              <w:top w:type="dxa" w:w="80"/>
              <w:left w:type="dxa" w:w="100"/>
              <w:bottom w:type="dxa" w:w="80"/>
              <w:right w:type="dxa" w:w="100"/>
            </w:tcMar>
          </w:tcPr>
          <w:p>
            <w:r>
              <w:rPr>
                <w:b w:val="false"/>
                <w:bCs w:val="false"/>
                <w:color w:val="000000"/>
                <w:sz w:val="20"/>
                <w:szCs w:val="20"/>
              </w:rPr>
              <w:t xml:space="preserve">ORD200469</w:t>
            </w:r>
          </w:p>
        </w:tc>
        <w:tc>
          <w:tcPr>
            <w:tcW w:type="dxa" w:w="1800"/>
            <w:tcMar>
              <w:top w:type="dxa" w:w="80"/>
              <w:left w:type="dxa" w:w="100"/>
              <w:bottom w:type="dxa" w:w="80"/>
              <w:right w:type="dxa" w:w="100"/>
            </w:tcMar>
          </w:tcPr>
          <w:p>
            <w:r>
              <w:rPr>
                <w:b w:val="false"/>
                <w:bCs w:val="false"/>
                <w:color w:val="000000"/>
                <w:sz w:val="20"/>
                <w:szCs w:val="20"/>
              </w:rPr>
              <w:t xml:space="preserve">Chair</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676.98</w:t>
            </w:r>
          </w:p>
        </w:tc>
        <w:tc>
          <w:tcPr>
            <w:tcW w:type="dxa" w:w="1800"/>
            <w:tcMar>
              <w:top w:type="dxa" w:w="80"/>
              <w:left w:type="dxa" w:w="100"/>
              <w:bottom w:type="dxa" w:w="80"/>
              <w:right w:type="dxa" w:w="100"/>
            </w:tcMar>
          </w:tcPr>
          <w:p>
            <w:r>
              <w:rPr>
                <w:b w:val="false"/>
                <w:bCs w:val="false"/>
                <w:color w:val="000000"/>
                <w:sz w:val="20"/>
                <w:szCs w:val="20"/>
              </w:rPr>
              <w:t xml:space="preserve">3,384.90</w:t>
            </w:r>
          </w:p>
        </w:tc>
      </w:tr>
      <w:tr>
        <w:tc>
          <w:tcPr>
            <w:tcW w:type="dxa" w:w="2000"/>
            <w:tcMar>
              <w:top w:type="dxa" w:w="80"/>
              <w:left w:type="dxa" w:w="100"/>
              <w:bottom w:type="dxa" w:w="80"/>
              <w:right w:type="dxa" w:w="100"/>
            </w:tcMar>
          </w:tcPr>
          <w:p>
            <w:r>
              <w:rPr>
                <w:b w:val="false"/>
                <w:bCs w:val="false"/>
                <w:color w:val="000000"/>
                <w:sz w:val="20"/>
                <w:szCs w:val="20"/>
              </w:rPr>
              <w:t xml:space="preserve">ORD200328</w:t>
            </w:r>
          </w:p>
        </w:tc>
        <w:tc>
          <w:tcPr>
            <w:tcW w:type="dxa" w:w="1800"/>
            <w:tcMar>
              <w:top w:type="dxa" w:w="80"/>
              <w:left w:type="dxa" w:w="100"/>
              <w:bottom w:type="dxa" w:w="80"/>
              <w:right w:type="dxa" w:w="100"/>
            </w:tcMar>
          </w:tcPr>
          <w:p>
            <w:r>
              <w:rPr>
                <w:b w:val="false"/>
                <w:bCs w:val="false"/>
                <w:color w:val="000000"/>
                <w:sz w:val="20"/>
                <w:szCs w:val="20"/>
              </w:rPr>
              <w:t xml:space="preserve">Tablet</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674.04</w:t>
            </w:r>
          </w:p>
        </w:tc>
        <w:tc>
          <w:tcPr>
            <w:tcW w:type="dxa" w:w="1800"/>
            <w:tcMar>
              <w:top w:type="dxa" w:w="80"/>
              <w:left w:type="dxa" w:w="100"/>
              <w:bottom w:type="dxa" w:w="80"/>
              <w:right w:type="dxa" w:w="100"/>
            </w:tcMar>
          </w:tcPr>
          <w:p>
            <w:r>
              <w:rPr>
                <w:b w:val="false"/>
                <w:bCs w:val="false"/>
                <w:color w:val="000000"/>
                <w:sz w:val="20"/>
                <w:szCs w:val="20"/>
              </w:rPr>
              <w:t xml:space="preserve">3,370.20</w:t>
            </w:r>
          </w:p>
        </w:tc>
      </w:tr>
      <w:tr>
        <w:tc>
          <w:tcPr>
            <w:tcW w:type="dxa" w:w="2000"/>
            <w:tcMar>
              <w:top w:type="dxa" w:w="80"/>
              <w:left w:type="dxa" w:w="100"/>
              <w:bottom w:type="dxa" w:w="80"/>
              <w:right w:type="dxa" w:w="100"/>
            </w:tcMar>
          </w:tcPr>
          <w:p>
            <w:r>
              <w:rPr>
                <w:b w:val="false"/>
                <w:bCs w:val="false"/>
                <w:color w:val="000000"/>
                <w:sz w:val="20"/>
                <w:szCs w:val="20"/>
              </w:rPr>
              <w:t xml:space="preserve">ORD200107</w:t>
            </w:r>
          </w:p>
        </w:tc>
        <w:tc>
          <w:tcPr>
            <w:tcW w:type="dxa" w:w="1800"/>
            <w:tcMar>
              <w:top w:type="dxa" w:w="80"/>
              <w:left w:type="dxa" w:w="100"/>
              <w:bottom w:type="dxa" w:w="80"/>
              <w:right w:type="dxa" w:w="100"/>
            </w:tcMar>
          </w:tcPr>
          <w:p>
            <w:r>
              <w:rPr>
                <w:b w:val="false"/>
                <w:bCs w:val="false"/>
                <w:color w:val="000000"/>
                <w:sz w:val="20"/>
                <w:szCs w:val="20"/>
              </w:rPr>
              <w:t xml:space="preserve">Printer</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670.75</w:t>
            </w:r>
          </w:p>
        </w:tc>
        <w:tc>
          <w:tcPr>
            <w:tcW w:type="dxa" w:w="1800"/>
            <w:tcMar>
              <w:top w:type="dxa" w:w="80"/>
              <w:left w:type="dxa" w:w="100"/>
              <w:bottom w:type="dxa" w:w="80"/>
              <w:right w:type="dxa" w:w="100"/>
            </w:tcMar>
          </w:tcPr>
          <w:p>
            <w:r>
              <w:rPr>
                <w:b w:val="false"/>
                <w:bCs w:val="false"/>
                <w:color w:val="000000"/>
                <w:sz w:val="20"/>
                <w:szCs w:val="20"/>
              </w:rPr>
              <w:t xml:space="preserve">3,353.75</w:t>
            </w:r>
          </w:p>
        </w:tc>
      </w:tr>
      <w:tr>
        <w:tc>
          <w:tcPr>
            <w:tcW w:type="dxa" w:w="2000"/>
            <w:tcMar>
              <w:top w:type="dxa" w:w="80"/>
              <w:left w:type="dxa" w:w="100"/>
              <w:bottom w:type="dxa" w:w="80"/>
              <w:right w:type="dxa" w:w="100"/>
            </w:tcMar>
          </w:tcPr>
          <w:p>
            <w:r>
              <w:rPr>
                <w:b w:val="false"/>
                <w:bCs w:val="false"/>
                <w:color w:val="000000"/>
                <w:sz w:val="20"/>
                <w:szCs w:val="20"/>
              </w:rPr>
              <w:t xml:space="preserve">ORD200326</w:t>
            </w:r>
          </w:p>
        </w:tc>
        <w:tc>
          <w:tcPr>
            <w:tcW w:type="dxa" w:w="1800"/>
            <w:tcMar>
              <w:top w:type="dxa" w:w="80"/>
              <w:left w:type="dxa" w:w="100"/>
              <w:bottom w:type="dxa" w:w="80"/>
              <w:right w:type="dxa" w:w="100"/>
            </w:tcMar>
          </w:tcPr>
          <w:p>
            <w:r>
              <w:rPr>
                <w:b w:val="false"/>
                <w:bCs w:val="false"/>
                <w:color w:val="000000"/>
                <w:sz w:val="20"/>
                <w:szCs w:val="20"/>
              </w:rPr>
              <w:t xml:space="preserve">Laptop</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670.48</w:t>
            </w:r>
          </w:p>
        </w:tc>
        <w:tc>
          <w:tcPr>
            <w:tcW w:type="dxa" w:w="1800"/>
            <w:tcMar>
              <w:top w:type="dxa" w:w="80"/>
              <w:left w:type="dxa" w:w="100"/>
              <w:bottom w:type="dxa" w:w="80"/>
              <w:right w:type="dxa" w:w="100"/>
            </w:tcMar>
          </w:tcPr>
          <w:p>
            <w:r>
              <w:rPr>
                <w:b w:val="false"/>
                <w:bCs w:val="false"/>
                <w:color w:val="000000"/>
                <w:sz w:val="20"/>
                <w:szCs w:val="20"/>
              </w:rPr>
              <w:t xml:space="preserve">3,352.40</w:t>
            </w:r>
          </w:p>
        </w:tc>
      </w:tr>
      <w:tr>
        <w:tc>
          <w:tcPr>
            <w:tcW w:type="dxa" w:w="2000"/>
            <w:tcMar>
              <w:top w:type="dxa" w:w="80"/>
              <w:left w:type="dxa" w:w="100"/>
              <w:bottom w:type="dxa" w:w="80"/>
              <w:right w:type="dxa" w:w="100"/>
            </w:tcMar>
          </w:tcPr>
          <w:p>
            <w:r>
              <w:rPr>
                <w:b w:val="false"/>
                <w:bCs w:val="false"/>
                <w:color w:val="000000"/>
                <w:sz w:val="20"/>
                <w:szCs w:val="20"/>
              </w:rPr>
              <w:t xml:space="preserve">ORD201065</w:t>
            </w:r>
          </w:p>
        </w:tc>
        <w:tc>
          <w:tcPr>
            <w:tcW w:type="dxa" w:w="1800"/>
            <w:tcMar>
              <w:top w:type="dxa" w:w="80"/>
              <w:left w:type="dxa" w:w="100"/>
              <w:bottom w:type="dxa" w:w="80"/>
              <w:right w:type="dxa" w:w="100"/>
            </w:tcMar>
          </w:tcPr>
          <w:p>
            <w:r>
              <w:rPr>
                <w:b w:val="false"/>
                <w:bCs w:val="false"/>
                <w:color w:val="000000"/>
                <w:sz w:val="20"/>
                <w:szCs w:val="20"/>
              </w:rPr>
              <w:t xml:space="preserve">Printer</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900"/>
            <w:tcMar>
              <w:top w:type="dxa" w:w="80"/>
              <w:left w:type="dxa" w:w="100"/>
              <w:bottom w:type="dxa" w:w="80"/>
              <w:right w:type="dxa" w:w="100"/>
            </w:tcMar>
          </w:tcPr>
          <w:p>
            <w:r>
              <w:rPr>
                <w:b w:val="false"/>
                <w:bCs w:val="false"/>
                <w:color w:val="000000"/>
                <w:sz w:val="20"/>
                <w:szCs w:val="20"/>
              </w:rPr>
              <w:t xml:space="preserve">666.80</w:t>
            </w:r>
          </w:p>
        </w:tc>
        <w:tc>
          <w:tcPr>
            <w:tcW w:type="dxa" w:w="1800"/>
            <w:tcMar>
              <w:top w:type="dxa" w:w="80"/>
              <w:left w:type="dxa" w:w="100"/>
              <w:bottom w:type="dxa" w:w="80"/>
              <w:right w:type="dxa" w:w="100"/>
            </w:tcMar>
          </w:tcPr>
          <w:p>
            <w:r>
              <w:rPr>
                <w:b w:val="false"/>
                <w:bCs w:val="false"/>
                <w:color w:val="000000"/>
                <w:sz w:val="20"/>
                <w:szCs w:val="20"/>
              </w:rPr>
              <w:t xml:space="preserve">3,334.00</w:t>
            </w:r>
          </w:p>
        </w:tc>
      </w:tr>
    </w:tbl>
    <w:p>
      <w:pPr>
        <w:spacing w:after="150"/>
      </w:pPr>
    </w:p>
    <w:p>
      <w:pPr>
        <w:spacing w:after="160"/>
      </w:pPr>
      <w:r>
        <w:t xml:space="preserve">Each outlier shares the same profile: the maximum quantity allowed (5 units) combined with a high unit price. These are legitimate bulk, high-value purchases rather than data errors, and do not need to be removed or corrected.</w:t>
      </w:r>
    </w:p>
    <w:p>
      <w:pPr>
        <w:pStyle w:val="Heading1"/>
        <w:spacing w:after="150" w:before="300"/>
      </w:pPr>
      <w:r>
        <w:t xml:space="preserve">5. Key Observations</w:t>
      </w:r>
    </w:p>
    <w:p>
      <w:pPr>
        <w:pStyle w:val="ListParagraph"/>
        <w:numPr>
          <w:ilvl w:val="0"/>
          <w:numId w:val="1"/>
        </w:numPr>
        <w:spacing w:after="80"/>
      </w:pPr>
      <w:r>
        <w:t xml:space="preserve">Order value is right-skewed: a typical order is around Rs. 824 (median), but the average is pulled up to Rs. 1,054 by a tail of high-value bulk orders.</w:t>
      </w:r>
    </w:p>
    <w:p>
      <w:pPr>
        <w:pStyle w:val="ListParagraph"/>
        <w:numPr>
          <w:ilvl w:val="0"/>
          <w:numId w:val="1"/>
        </w:numPr>
        <w:spacing w:after="80"/>
      </w:pPr>
      <w:r>
        <w:t xml:space="preserve">Revenue is flat over time - no clear growth, decline, or seasonal cycle across 30 months of data.</w:t>
      </w:r>
    </w:p>
    <w:p>
      <w:pPr>
        <w:pStyle w:val="ListParagraph"/>
        <w:numPr>
          <w:ilvl w:val="0"/>
          <w:numId w:val="1"/>
        </w:numPr>
        <w:spacing w:after="80"/>
      </w:pPr>
      <w:r>
        <w:t xml:space="preserve">The product mix, payment methods, and referral channels are all evenly diversified; no single category dominates sales.</w:t>
      </w:r>
    </w:p>
    <w:p>
      <w:pPr>
        <w:pStyle w:val="ListParagraph"/>
        <w:numPr>
          <w:ilvl w:val="0"/>
          <w:numId w:val="1"/>
        </w:numPr>
        <w:spacing w:after="80"/>
      </w:pPr>
      <w:r>
        <w:t xml:space="preserve">Cancelled orders average the highest order value, and Returned orders the lowest - a pattern worth investigating further if this were a live business.</w:t>
      </w:r>
    </w:p>
    <w:p>
      <w:pPr>
        <w:pStyle w:val="ListParagraph"/>
        <w:numPr>
          <w:ilvl w:val="0"/>
          <w:numId w:val="1"/>
        </w:numPr>
        <w:spacing w:after="80"/>
      </w:pPr>
      <w:r>
        <w:t xml:space="preserve">Coupon usage shows almost no relationship with order size.</w:t>
      </w:r>
    </w:p>
    <w:p>
      <w:pPr>
        <w:pStyle w:val="ListParagraph"/>
        <w:numPr>
          <w:ilvl w:val="0"/>
          <w:numId w:val="1"/>
        </w:numPr>
        <w:spacing w:after="80"/>
      </w:pPr>
      <w:r>
        <w:t xml:space="preserve">Nearly all customers (1,189 of 1,200 orders) are one-time buyers, indicating an acquisition-heavy rather than retention-driven sales pattern.</w:t>
      </w:r>
    </w:p>
    <w:p>
      <w:pPr>
        <w:pStyle w:val="ListParagraph"/>
        <w:numPr>
          <w:ilvl w:val="0"/>
          <w:numId w:val="1"/>
        </w:numPr>
        <w:spacing w:after="80"/>
      </w:pPr>
      <w:r>
        <w:t xml:space="preserve">The 8 statistical outliers are explainable, legitimate bulk purchases at maximum quantity and high unit price - not data quality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37dbfe285a0ecb4c3f16f99fb0cf849cb8f37d.png"/><Relationship Id="rId8" Type="http://schemas.openxmlformats.org/officeDocument/2006/relationships/image" Target="media/ac2023dcec801a599bf47fc0b4eba60975675f53.png"/><Relationship Id="rId9" Type="http://schemas.openxmlformats.org/officeDocument/2006/relationships/image" Target="media/e99505dc94611490bf7c8bc9d32c91bc9aec51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2026-07-20T09:05:03.883Z</dcterms:created>
  <dcterms:modified xsi:type="dcterms:W3CDTF">2026-07-20T09:05:03.895Z</dcterms:modified>
</cp:coreProperties>
</file>

<file path=docProps/custom.xml><?xml version="1.0" encoding="utf-8"?>
<Properties xmlns="http://schemas.openxmlformats.org/officeDocument/2006/custom-properties" xmlns:vt="http://schemas.openxmlformats.org/officeDocument/2006/docPropsVTypes"/>
</file>