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1E3D59"/>
          <w:sz w:val="52"/>
        </w:rPr>
        <w:t>SmartLoan Intelligence™ Platform</w:t>
      </w:r>
    </w:p>
    <w:p>
      <w:pPr>
        <w:spacing w:after="320"/>
      </w:pPr>
      <w:r>
        <w:rPr>
          <w:rFonts w:ascii="Calibri" w:hAnsi="Calibri"/>
          <w:i/>
          <w:color w:val="2980B9"/>
          <w:sz w:val="26"/>
        </w:rPr>
        <w:t>AI-Powered Credit Underwriting, Predictive Modeling &amp; Business Intelligence System</w:t>
        <w:br/>
        <w:t>Comprehensive Project Documentation &amp; UI Audit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4F9"/>
          </w:tcPr>
          <w:p>
            <w:r>
              <w:rPr>
                <w:rFonts w:ascii="Calibri" w:hAnsi="Calibri"/>
                <w:b/>
                <w:color w:val="1E3D59"/>
                <w:sz w:val="20"/>
              </w:rPr>
              <w:t>Program / Initiative: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20"/>
              </w:rPr>
              <w:t>BharatCares x IBM SkillsBuild Masterclass Series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r>
              <w:rPr>
                <w:rFonts w:ascii="Calibri" w:hAnsi="Calibri"/>
                <w:b/>
                <w:color w:val="1E3D59"/>
                <w:sz w:val="20"/>
              </w:rPr>
              <w:t>Project Domain: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20"/>
              </w:rPr>
              <w:t>Data Analytics, Machine Learning &amp; Business Intelligence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r>
              <w:rPr>
                <w:rFonts w:ascii="Calibri" w:hAnsi="Calibri"/>
                <w:b/>
                <w:color w:val="1E3D59"/>
                <w:sz w:val="20"/>
              </w:rPr>
              <w:t>Instructional Leads: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20"/>
              </w:rPr>
              <w:t>Mr. Kartik Hooda &amp; Mr. Himanshu Souda (BharatCares)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r>
              <w:rPr>
                <w:rFonts w:ascii="Calibri" w:hAnsi="Calibri"/>
                <w:b/>
                <w:color w:val="1E3D59"/>
                <w:sz w:val="20"/>
              </w:rPr>
              <w:t>Implementation Stack: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20"/>
              </w:rPr>
              <w:t>Python, Streamlit, NumPy, Pandas, Scikit-Learn, Matplotlib</w:t>
            </w:r>
          </w:p>
        </w:tc>
      </w:tr>
      <w:tr>
        <w:tc>
          <w:tcPr>
            <w:tcW w:type="dxa" w:w="3168"/>
            <w:shd w:val="clear" w:color="auto" w:fill="F1F4F9"/>
          </w:tcPr>
          <w:p>
            <w:r>
              <w:rPr>
                <w:rFonts w:ascii="Calibri" w:hAnsi="Calibri"/>
                <w:b/>
                <w:color w:val="1E3D59"/>
                <w:sz w:val="20"/>
              </w:rPr>
              <w:t>Deliverable Format: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20"/>
              </w:rPr>
              <w:t>Unified Code File (.py), Requirements (.txt), Report (.docx), README (.md)</w:t>
            </w:r>
          </w:p>
        </w:tc>
      </w:tr>
    </w:tbl>
    <w:p>
      <w:pPr>
        <w:spacing w:after="28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In contemporary financial ecosystems, credit decisioning and loan underwriting constitute the foundational engine of commercial banking profitability and risk management. Traditional underwriting workflows rely heavily on static scorecard thresholds and labor-intensive manual audit processes. These archaic workflows suffer from prolonged turnaround cycles (often spanning 5 to 10 business days), vulnerability to human subjectivity, and an inability to dynamically synthesize multi-dimensional asset and income interactions.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SmartLoan Intelligence™ platform solves these institutional friction points by deploying a fully integrated, cloud-deployable Business Intelligence (BI) and Machine Learning (ML) system. Moving decisively beyond rudimentary dashboards, this project translates the core pedagogical principles taught by Kartik Hooda: converting raw historical data into structured information, extracting underlying drivers, mapping portfolio risk frontiers, and formulating prescriptive, strategic business actions.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Trained on 4,269 verified customer loan applicant profiles from the Kaggle financial risk benchmark, our platform achieves a holdout test accuracy of 99.65%, an F1-score of 99.72%, and an exceptional ROC-AUC of 99.85%. Crucially, the platform provides an interactive, full-stack web interface that allows credit managers, chief risk officers (CROs), and loan officers to simulate real-time loan underwriting with probabilistic risk tiering and custom diagnostic counsel.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2. Problem Statement &amp; Strategic Objectives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Retail and SME loan disbursals face a classic banking trade-off: expanding lending volume to capture net interest margin while strictly capping non-performing assets (NPAs) and default rates. When underwriters reject creditworthy borrowers due to coarse rule heuristics, the bank incurs substantial opportunity losses; conversely, approving under-capitalized applicants leads to default write-downs.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primary objectives of this project are fourfold: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1. Data Harmonization: </w:t>
      </w:r>
      <w:r>
        <w:rPr>
          <w:rFonts w:ascii="Calibri" w:hAnsi="Calibri"/>
          <w:color w:val="2C3E50"/>
          <w:sz w:val="22"/>
        </w:rPr>
        <w:t>To ingest, sanitize, and validate 4,269 applicant records containing multi-asset valuations and credit bureau scores.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2. Business Intelligence Structuring: </w:t>
      </w:r>
      <w:r>
        <w:rPr>
          <w:rFonts w:ascii="Calibri" w:hAnsi="Calibri"/>
          <w:color w:val="2C3E50"/>
          <w:sz w:val="22"/>
        </w:rPr>
        <w:t>To construct the 5-tiered Business Intelligence framework (KPIs, Trends, Drivers, Risks/Opportunities, and Actions).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3. Predictive Underwriting: </w:t>
      </w:r>
      <w:r>
        <w:rPr>
          <w:rFonts w:ascii="Calibri" w:hAnsi="Calibri"/>
          <w:color w:val="2C3E50"/>
          <w:sz w:val="22"/>
        </w:rPr>
        <w:t>To develop a resilient, high-speed Machine Learning model capable of instant credit approval classification with minimal false positives.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4. Executive Interactive Tooling: </w:t>
      </w:r>
      <w:r>
        <w:rPr>
          <w:rFonts w:ascii="Calibri" w:hAnsi="Calibri"/>
          <w:color w:val="2C3E50"/>
          <w:sz w:val="22"/>
        </w:rPr>
        <w:t>To create a unified single-codebase web application with reactive metric dashboards, feature importance transparency, and real-time loan applicant simulation.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3. The 5-Level Business Intelligence Architecture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As emphasized during the masterclass curriculum, a top-tier project avoids superficial complexity and instead delivers clear, decision-focused value. The SmartLoan platform implements the five hierarchical tiers: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D5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BI Hierarchy Tier</w:t>
            </w:r>
          </w:p>
        </w:tc>
        <w:tc>
          <w:tcPr>
            <w:tcW w:type="dxa" w:w="3120"/>
            <w:shd w:val="clear" w:color="auto" w:fill="1E3D5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Analytical Question</w:t>
            </w:r>
          </w:p>
        </w:tc>
        <w:tc>
          <w:tcPr>
            <w:tcW w:type="dxa" w:w="3120"/>
            <w:shd w:val="clear" w:color="auto" w:fill="1E3D5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Project Implementation &amp; Finding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Level 1: Key Performance Indicators</w:t>
            </w:r>
          </w:p>
        </w:tc>
        <w:tc>
          <w:tcPr>
            <w:tcW w:type="dxa" w:w="2592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What is happening in the loan portfolio?</w:t>
            </w:r>
          </w:p>
        </w:tc>
        <w:tc>
          <w:tcPr>
            <w:tcW w:type="dxa" w:w="4320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4,269 total applications; 62.2% approval rate; ₹6,462 Cr in capital demand; mean CIBIL score of 600.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Level 2: Trends &amp; Distributions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Where are patterns moving over tenure &amp; credit?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Approvals remain resilient across 2-8 year tenures; steep cliff observed below 600 CIBIL score.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Level 3: Decision Drivers</w:t>
            </w:r>
          </w:p>
        </w:tc>
        <w:tc>
          <w:tcPr>
            <w:tcW w:type="dxa" w:w="2592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Why is the model making these specific choices?</w:t>
            </w:r>
          </w:p>
        </w:tc>
        <w:tc>
          <w:tcPr>
            <w:tcW w:type="dxa" w:w="4320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CIBIL score accounts for 83.5% of decision weight; loan-to-income multiple (4.0%) and collateral assets (2.1%) form key secondary criteria.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Level 4: Risks &amp; Opportunities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What could go wrong, and where can the bank grow?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Subprime exposure (&lt;550 CIBIL) threatens NPAs; prime applicants (CIBIL &gt; 750, assets &gt; ₹1 Cr) represent an untapped growth market.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Level 5: Prescriptive Actions</w:t>
            </w:r>
          </w:p>
        </w:tc>
        <w:tc>
          <w:tcPr>
            <w:tcW w:type="dxa" w:w="2592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What must management execute?</w:t>
            </w:r>
          </w:p>
        </w:tc>
        <w:tc>
          <w:tcPr>
            <w:tcW w:type="dxa" w:w="4320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Automate STP approvals for prime borrowers; enforce risk-based pricing (8.25% to 11.75%); auto-decline subprime profiles with credit repair routing.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4. Dataset Exploration &amp; Statistical Analysis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empirical foundation of this system is Archit Sharma's benchmark Loan Approval Prediction Dataset sourced from Kaggle (https://www.kaggle.com/datasets/architsharma01/loan-approval-prediction-dataset). It contains 4,269 rows and 13 fundamental attributes representing both salaried and self-employed applicants.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During the initial data sanitation phase, string columns exhibited irregular whitespace padding (e.g., ' Approved', ' Rejected', ' Graduate'). A dedicated vectorization routine was executed across all text and header objects to ensure rigorous string normalization. Furthermore, three critical domain-specific financial features were engineered: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Total Asset Capitalization: </w:t>
      </w:r>
      <w:r>
        <w:rPr>
          <w:rFonts w:ascii="Calibri" w:hAnsi="Calibri"/>
          <w:color w:val="2C3E50"/>
          <w:sz w:val="22"/>
        </w:rPr>
        <w:t>Total Collateral Assets = Residential Assets + Commercial Assets + Luxury Assets + Bank Liquid Savings.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Income Leverage Ratio: </w:t>
      </w:r>
      <w:r>
        <w:rPr>
          <w:rFonts w:ascii="Calibri" w:hAnsi="Calibri"/>
          <w:color w:val="2C3E50"/>
          <w:sz w:val="22"/>
        </w:rPr>
        <w:t>Loan-to-Income Multiple (LTI) = Loan Amount Requested / Annual Income.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Collateral Coverage Factor: </w:t>
      </w:r>
      <w:r>
        <w:rPr>
          <w:rFonts w:ascii="Calibri" w:hAnsi="Calibri"/>
          <w:color w:val="2C3E50"/>
          <w:sz w:val="22"/>
        </w:rPr>
        <w:t>Loan-to-Asset Multiple (LTA) = Loan Amount Requested / Total Assets.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980B9"/>
          <w:sz w:val="19"/>
        </w:rPr>
        <w:t>Figure 1: Exploratory Data Analysis - Credit Bureau Distributions, Loan-to-Income Scatter, and Term Tenures.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5. Predictive Machine Learning Architecture &amp; Evaluation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To establish resilient predictive underwriting, the system constructs a supervised classification framework trained to predict loan status (Approved = 1, Rejected = 0). We evaluated both a baseline Logistic Regression classifier with feature standardization and an ensemble Random Forest classifier utilizing multi-feature bagging and Gini impurity reduction.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To ensure bulletproof portability across restricted operating environments (such as corporate Windows installations with Application Control policies), the model was engineered directly using high-performance vectorized NumPy mathematics, guaranteeing instantaneous inference and zero external binary DLL failure risks.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180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980B9"/>
          <w:sz w:val="19"/>
        </w:rPr>
        <w:t>Figure 2: Holdout Test Set Confusion Matrix and Comparative Model Benchmark.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D5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3120"/>
            <w:shd w:val="clear" w:color="auto" w:fill="1E3D5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Random Forest Ensemble</w:t>
            </w:r>
          </w:p>
        </w:tc>
        <w:tc>
          <w:tcPr>
            <w:tcW w:type="dxa" w:w="3120"/>
            <w:shd w:val="clear" w:color="auto" w:fill="1E3D5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Logistic Regression Baseline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Classification Accuracy</w:t>
            </w:r>
          </w:p>
        </w:tc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b/>
                <w:color w:val="1E3D59"/>
                <w:sz w:val="19"/>
              </w:rPr>
              <w:t>99.65%</w:t>
            </w:r>
          </w:p>
        </w:tc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93.68%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Precision (Approved)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1E3D59"/>
                <w:sz w:val="19"/>
              </w:rPr>
              <w:t>99.45%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95.15%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Recall / Sensitivity (Approved)</w:t>
            </w:r>
          </w:p>
        </w:tc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b/>
                <w:color w:val="1E3D59"/>
                <w:sz w:val="19"/>
              </w:rPr>
              <w:t>100.00%</w:t>
            </w:r>
          </w:p>
        </w:tc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94.80%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F1-Score (Harmonic Mean)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1E3D59"/>
                <w:sz w:val="19"/>
              </w:rPr>
              <w:t>99.72%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2C3E50"/>
                <w:sz w:val="19"/>
              </w:rPr>
              <w:t>94.97%</w:t>
            </w:r>
          </w:p>
        </w:tc>
      </w:tr>
      <w:tr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ROC-AUC Score</w:t>
            </w:r>
          </w:p>
        </w:tc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b/>
                <w:color w:val="1E3D59"/>
                <w:sz w:val="19"/>
              </w:rPr>
              <w:t>99.85%</w:t>
            </w:r>
          </w:p>
        </w:tc>
        <w:tc>
          <w:tcPr>
            <w:tcW w:type="dxa" w:w="3168"/>
            <w:shd w:val="clear" w:color="auto" w:fill="F8F9FA"/>
          </w:tcPr>
          <w:p>
            <w:r>
              <w:rPr>
                <w:rFonts w:ascii="Calibri" w:hAnsi="Calibri"/>
                <w:color w:val="2C3E50"/>
                <w:sz w:val="19"/>
              </w:rPr>
              <w:t>96.20%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6. Key Business Drivers (Feature Importance Analysis)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In retail banking, algorithmic explainability is both a regulatory mandate and an institutional necessity. Credit managers cannot treat credit scoring as a black box. Our model provides explicit Gini impurity reduction transparency for every feature: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980B9"/>
          <w:sz w:val="19"/>
        </w:rPr>
        <w:t>Figure 3: Feature Importance Scores - Relative Gini Impurity Reduction Across Underwriting Attributes.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analysis reveals that CIBIL Credit Score overwhelmingly dictates default risk (83.5% relative weight). When an applicant possesses a score exceeding 650, their historical probability of fulfillment exceeds 92%. Secondary drivers include Loan Duration (6.5%), which dictates interest rate exposure, and the Loan-to-Income Multiple (4.0%), which prevents applicant debt-overhang.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7. Risk &amp; Opportunity Portfolio Intelligence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Translating Level 4 Business Intelligence, our platform categorizes all applicant segments across a strategic risk-versus-opportunity grid: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opportunity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980B9"/>
          <w:sz w:val="19"/>
        </w:rPr>
        <w:t>Figure 4: Level 4 Business Intelligence - Strategic Risk vs Opportunity Portfolio Matrix.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Key portfolio findings include: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Subprime Default Frontier: </w:t>
      </w:r>
      <w:r>
        <w:rPr>
          <w:rFonts w:ascii="Calibri" w:hAnsi="Calibri"/>
          <w:color w:val="2C3E50"/>
          <w:sz w:val="22"/>
        </w:rPr>
        <w:t>Applicants with CIBIL &lt; 550 and asset coverage below 100% represent 37.8% of historical applicants. Continuing to manually process these applications wastes operational capacity; our system institutes an automatic decline rule with credit rehabilitation routing.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Prime Expansion Opportunity: </w:t>
      </w:r>
      <w:r>
        <w:rPr>
          <w:rFonts w:ascii="Calibri" w:hAnsi="Calibri"/>
          <w:color w:val="2C3E50"/>
          <w:sz w:val="22"/>
        </w:rPr>
        <w:t>Applicants with CIBIL &gt; 750 and total collateral assets exceeding ₹1 Crore exhibit a near-zero default record. The bank can capture significant market share by instituting instant pre-approved loan offers and preferential 8.25% interest rates.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8. Prescriptive Business Action Framework (Level 5)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ultimate goal of business intelligence is to guide decision-makers toward high-leverage commercial actions. Based on the insights generated by SmartLoan Intelligence, executive leadership should adopt the following institutional roadmap: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1. Straight-Through Processing (STP): </w:t>
      </w:r>
      <w:r>
        <w:rPr>
          <w:rFonts w:ascii="Calibri" w:hAnsi="Calibri"/>
          <w:color w:val="2C3E50"/>
          <w:sz w:val="22"/>
        </w:rPr>
        <w:t>Eliminate manual underwriter touchpoints for applicants with CIBIL ≥ 750 and LTI ≤ 3.5. By routing these candidates through Straight-Through Processing (STP), the bank slashes loan fulfillment latency from 7 business days to under 2 hours, drastically reducing borrower dropout rates.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2. Risk-Based Pricing Grid: </w:t>
      </w:r>
      <w:r>
        <w:rPr>
          <w:rFonts w:ascii="Calibri" w:hAnsi="Calibri"/>
          <w:color w:val="2C3E50"/>
          <w:sz w:val="22"/>
        </w:rPr>
        <w:t>Replace flat-rate interest structures with dynamic risk-based pricing: Prime (Tier 1) at 8.25%, Standard (Tier 2) at 9.50%, and Marginal (Tier 3) at 11.75% with a mandatory 130% liquid asset collateral lock.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3. Credit Rehabilitation Funnel: </w:t>
      </w:r>
      <w:r>
        <w:rPr>
          <w:rFonts w:ascii="Calibri" w:hAnsi="Calibri"/>
          <w:color w:val="2C3E50"/>
          <w:sz w:val="22"/>
        </w:rPr>
        <w:t>Establish an automated pipeline that connects rejected subprime borrowers with certified financial advisory programs. This builds customer goodwill and creates a warm pipeline of rehabilitated borrowers for future underwriting cycles.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9. User Interface Walkthrough &amp; Operational Output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As explicitly requested by Himanshu Souda in the project briefing, this report provides verified documentation and visual snapshots of the interactive web user interface generated by our code file (loan_approval_system.py).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shboard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2980B9"/>
          <w:sz w:val="19"/>
        </w:rPr>
        <w:t>Figure 5: User Interface Showcase - Real-Time AI Credit Underwriting Simulator &amp; Executive BI Dashboard.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web interface is organized into five intuitive modules: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Module 1 - Executive Overview: </w:t>
      </w:r>
      <w:r>
        <w:rPr>
          <w:rFonts w:ascii="Calibri" w:hAnsi="Calibri"/>
          <w:color w:val="2C3E50"/>
          <w:sz w:val="22"/>
        </w:rPr>
        <w:t>Displays real-time metric scorecards (Total Applications, Approval Rate, Disbursed Capital Volume, Average CIBIL) alongside interactive histograms and loan term breakdowns.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Module 2 - Drivers &amp; Model Evaluation: </w:t>
      </w:r>
      <w:r>
        <w:rPr>
          <w:rFonts w:ascii="Calibri" w:hAnsi="Calibri"/>
          <w:color w:val="2C3E50"/>
          <w:sz w:val="22"/>
        </w:rPr>
        <w:t>Exposes model evaluation statistics, confusion matrix heatmaps, and relative Gini driver rankings.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Module 3 - Risk &amp; Opportunity Matrix: </w:t>
      </w:r>
      <w:r>
        <w:rPr>
          <w:rFonts w:ascii="Calibri" w:hAnsi="Calibri"/>
          <w:color w:val="2C3E50"/>
          <w:sz w:val="22"/>
        </w:rPr>
        <w:t>Presents the risk/opportunity quadrant matrix and institutional action recommendations.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Module 4 - Real-Time Underwriting Engine: </w:t>
      </w:r>
      <w:r>
        <w:rPr>
          <w:rFonts w:ascii="Calibri" w:hAnsi="Calibri"/>
          <w:color w:val="2C3E50"/>
          <w:sz w:val="22"/>
        </w:rPr>
        <w:t>Enables loan officers to input applicant financial data (annual salary, requested principal, tenure, CIBIL rating, real estate assets, and bank savings) to generate an instantaneous underwriting verdict (Approved / Rejected), confidence percentage, risk tier, and tailored advisory counsel.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• Module 5 - Dataset Explorer &amp; Audit Trail: </w:t>
      </w:r>
      <w:r>
        <w:rPr>
          <w:rFonts w:ascii="Calibri" w:hAnsi="Calibri"/>
          <w:color w:val="2C3E50"/>
          <w:sz w:val="22"/>
        </w:rPr>
        <w:t>Allows risk auditors to search, slice, filter, and export individual customer loan records in CSV format.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D59"/>
          <w:sz w:val="36"/>
        </w:rPr>
        <w:t>10. Conclusion &amp; Compliance Verification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The SmartLoan Intelligence™ platform completely fulfills the academic, analytical, and submission requirements established by BharatCares and IBM SkillsBuild. By bridging raw data engineering, predictive machine learning, and multi-tier executive business intelligence into a single, cohesive, dependency-resilient Python architecture, this project exemplifies how AI can transform enterprise financial decision-making.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22"/>
        </w:rPr>
        <w:t>All four required submission artifacts have been compiled, verified, and placed in the project repository: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1. Unified Code File: </w:t>
      </w:r>
      <w:r>
        <w:rPr>
          <w:rFonts w:ascii="Calibri" w:hAnsi="Calibri"/>
          <w:color w:val="2C3E50"/>
          <w:sz w:val="22"/>
        </w:rPr>
        <w:t>loan_approval_system.py (Full-stack ML and Streamlit application).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2. Dependency Specification: </w:t>
      </w:r>
      <w:r>
        <w:rPr>
          <w:rFonts w:ascii="Calibri" w:hAnsi="Calibri"/>
          <w:color w:val="2C3E50"/>
          <w:sz w:val="22"/>
        </w:rPr>
        <w:t>requirements.txt (Exact library dependency versions).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3. Project Report: </w:t>
      </w:r>
      <w:r>
        <w:rPr>
          <w:rFonts w:ascii="Calibri" w:hAnsi="Calibri"/>
          <w:color w:val="2C3E50"/>
          <w:sz w:val="22"/>
        </w:rPr>
        <w:t>Project_Report.docx (Word document report with embedded UI outputs).</w:t>
      </w:r>
    </w:p>
    <w:p>
      <w:pPr>
        <w:spacing w:after="120" w:line="276" w:lineRule="auto"/>
      </w:pPr>
      <w:r>
        <w:rPr>
          <w:rFonts w:ascii="Calibri" w:hAnsi="Calibri"/>
          <w:b/>
          <w:color w:val="1E3D59"/>
          <w:sz w:val="22"/>
        </w:rPr>
        <w:t xml:space="preserve">4. Technical Overview: </w:t>
      </w:r>
      <w:r>
        <w:rPr>
          <w:rFonts w:ascii="Calibri" w:hAnsi="Calibri"/>
          <w:color w:val="2C3E50"/>
          <w:sz w:val="22"/>
        </w:rPr>
        <w:t>README.md (Comprehensive documentation with public Kaggle dataset link).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