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/>
      </w:pPr>
      <w:r>
        <w:rPr>
          <w:b/>
          <w:color w:val="2E74B5"/>
          <w:sz w:val="20"/>
        </w:rPr>
        <w:t>ARCHITECTURE &amp; RELEASE READINESS BRIEF</w:t>
      </w:r>
    </w:p>
    <w:p>
      <w:pPr>
        <w:pStyle w:val="Title"/>
      </w:pPr>
      <w:r>
        <w:t>Maestro Codebase Architecture</w:t>
      </w:r>
    </w:p>
    <w:p>
      <w:pPr>
        <w:pStyle w:val="Subtitle"/>
      </w:pPr>
      <w:r>
        <w:t>Clean package boundaries, reusable UI composition, validation evidence, and staged evolution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900"/>
        <w:gridCol w:w="1860"/>
        <w:gridCol w:w="3600"/>
      </w:tblGrid>
      <w:tr>
        <w:trPr>
          <w:tblHeader w:val="true"/>
        </w:trPr>
        <w:tc>
          <w:tcPr>
            <w:tcW w:type="dxa" w:w="3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F4D78"/>
              </w:rPr>
              <w:t>Repository</w:t>
            </w:r>
          </w:p>
        </w:tc>
        <w:tc>
          <w:tcPr>
            <w:tcW w:type="dxa" w:w="18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F4D78"/>
              </w:rPr>
              <w:t>Branch</w:t>
            </w:r>
          </w:p>
        </w:tc>
        <w:tc>
          <w:tcPr>
            <w:tcW w:type="dxa" w:w="3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F4D78"/>
              </w:rPr>
              <w:t>Prepared</w:t>
            </w:r>
          </w:p>
        </w:tc>
      </w:tr>
      <w:t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subhangR/agent-maestro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staging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24 July 2026</w:t>
            </w:r>
          </w:p>
        </w:tc>
      </w:tr>
    </w:tbl>
    <w:p>
      <w:pPr>
        <w:spacing w:after="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E74B5"/>
              </w:rPr>
              <w:t xml:space="preserve">OUTCOME  </w:t>
            </w:r>
            <w:r>
              <w:t>The monorepo now has an explicit architecture manifest, enforceable cross-package dependency rules, documented frontend/backend/shared groupings, and a reusable session-view feature split into state and presentation modules. Stable package paths were preserved to avoid deployment and release regressions.</w:t>
            </w:r>
          </w:p>
        </w:tc>
      </w:tr>
    </w:tbl>
    <w:p>
      <w:pPr>
        <w:spacing w:after="0"/>
      </w:pPr>
    </w:p>
    <w:p>
      <w:pPr>
        <w:pStyle w:val="Heading1"/>
      </w:pPr>
      <w:r>
        <w:t>1. Executive decision</w:t>
      </w:r>
    </w:p>
    <w:p>
      <w:r>
        <w:t>Keep the current package-based monorepo structure and treat logical grouping as the public architecture contract. Do not physically rename mature top-level packages during an active staging cycle. The repository now expresses those groups in architecture.json and validates them with scripts/check-architecture.mjs.</w:t>
      </w:r>
    </w:p>
    <w:p>
      <w:pPr>
        <w:pStyle w:val="ListBullet"/>
      </w:pPr>
      <w:r>
        <w:t>Preserve compatibility for Tauri configuration, build scripts, deployment automation, documentation links, and downstream tooling.</w:t>
      </w:r>
    </w:p>
    <w:p>
      <w:pPr>
        <w:pStyle w:val="ListBullet"/>
      </w:pPr>
      <w:r>
        <w:t>Enforce dependency direction continuously instead of relying on directory appearance alone.</w:t>
      </w:r>
    </w:p>
    <w:p>
      <w:pPr>
        <w:pStyle w:val="ListBullet"/>
      </w:pPr>
      <w:r>
        <w:t>Extract reusable frontend behavior from large orchestration components as features change.</w:t>
      </w:r>
    </w:p>
    <w:p>
      <w:pPr>
        <w:pStyle w:val="ListBullet"/>
      </w:pPr>
      <w:r>
        <w:t>Move to apps/ and packages/ only through a dedicated migration with compatibility shims and full release validation.</w:t>
      </w:r>
    </w:p>
    <w:p>
      <w:pPr>
        <w:pStyle w:val="Heading1"/>
      </w:pPr>
      <w:r>
        <w:t>2. Logical package map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440"/>
        <w:gridCol w:w="3600"/>
        <w:gridCol w:w="4320"/>
      </w:tblGrid>
      <w:tr>
        <w:trPr>
          <w:tblHeader w:val="true"/>
        </w:trPr>
        <w:tc>
          <w:tcPr>
            <w:tcW w:type="dxa" w:w="144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F4D78"/>
              </w:rPr>
              <w:t>Group</w:t>
            </w:r>
          </w:p>
        </w:tc>
        <w:tc>
          <w:tcPr>
            <w:tcW w:type="dxa" w:w="3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F4D78"/>
              </w:rPr>
              <w:t>Packages</w:t>
            </w:r>
          </w:p>
        </w:tc>
        <w:tc>
          <w:tcPr>
            <w:tcW w:type="dxa" w:w="43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F4D78"/>
              </w:rPr>
              <w:t>Owned responsibility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Frontend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maestro-ui; maestro-web; maestro-mobile; website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Desktop/browser/mobile presentation, interaction, and platform UI.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Backend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maestro-server; maestro-gateway; functions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APIs, orchestration, persistence, realtime transport, auth, and cloud adapters.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Interfaces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maestro-cli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Command surface for users, agents, and automation.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Shared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maestro-pty-protocol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Runtime-independent PTY contracts and parsing.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Operations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deploy; scripts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Build, deployment, setup, diagnostics, and maintenance.</w:t>
            </w:r>
          </w:p>
        </w:tc>
      </w:tr>
    </w:tbl>
    <w:p>
      <w:pPr>
        <w:spacing w:after="0"/>
      </w:pPr>
    </w:p>
    <w:p>
      <w:pPr>
        <w:pStyle w:val="Heading1"/>
      </w:pPr>
      <w:r>
        <w:t>3. Dependency boundaries</w:t>
      </w:r>
    </w:p>
    <w:p>
      <w:r>
        <w:t>The dependency rule is intentionally simple: applications depend on shared contracts; clients and servers communicate across runtime boundaries rather than importing one another’s implementations.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780"/>
        <w:gridCol w:w="3780"/>
      </w:tblGrid>
      <w:tr>
        <w:trPr>
          <w:tblHeader w:val="true"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F4D78"/>
              </w:rPr>
              <w:t>Source</w:t>
            </w:r>
          </w:p>
        </w:tc>
        <w:tc>
          <w:tcPr>
            <w:tcW w:type="dxa" w:w="37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F4D78"/>
              </w:rPr>
              <w:t>Allowed</w:t>
            </w:r>
          </w:p>
        </w:tc>
        <w:tc>
          <w:tcPr>
            <w:tcW w:type="dxa" w:w="37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F4D78"/>
              </w:rPr>
              <w:t>Prohibited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Frontend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Shared contracts, UI libraries, platform adapters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Backend implementation packages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Backend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Domain/application contracts, infrastructure adapters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Frontend implementation packages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Shared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Dependency-free protocol/types where practical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Application or runtime packages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Server domain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Domain values, repository/event interfaces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Express, filesystem, WebSocket, cloud SDKs</w:t>
            </w:r>
          </w:p>
        </w:tc>
      </w:tr>
    </w:tbl>
    <w:p>
      <w:pPr>
        <w:spacing w:after="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E74B5"/>
              </w:rPr>
              <w:t xml:space="preserve">AUTOMATED GATE  </w:t>
            </w:r>
            <w:r>
              <w:t>bun run check:architecture verifies every declared path, prevents duplicate grouping, resolves workspace package names, and rejects frontend↔backend or shared→application package dependencies.</w:t>
            </w:r>
          </w:p>
        </w:tc>
      </w:tr>
    </w:tbl>
    <w:p>
      <w:pPr>
        <w:spacing w:after="0"/>
      </w:pPr>
    </w:p>
    <w:p>
      <w:pPr>
        <w:pStyle w:val="Heading1"/>
      </w:pPr>
      <w:r>
        <w:t>4. Frontend decomposition implemented</w:t>
      </w:r>
    </w:p>
    <w:p>
      <w:r>
        <w:t>The pending session workspace improvement previously placed responsive defaults, local-storage persistence, view-state derivation, and three-button rendering directly inside AppWorkspace. That behavior is now decomposed into focused units: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rPr>
          <w:tblHeader w:val="true"/>
        </w:trPr>
        <w:tc>
          <w:tcPr>
            <w:tcW w:type="dxa" w:w="30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F4D78"/>
              </w:rPr>
              <w:t>Module</w:t>
            </w:r>
          </w:p>
        </w:tc>
        <w:tc>
          <w:tcPr>
            <w:tcW w:type="dxa" w:w="63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F4D78"/>
              </w:rPr>
              <w:t>Responsibility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useSessionViewMode.ts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Owns the chat/split/terminal state, responsive initial value, preference validation, persistence, and derived visibility flags.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SessionViewSelector.tsx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Pure reusable presentation for the accessible tab selector.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AppWorkspace.tsx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Composes workspace data, terminals, activity, and the extracted feature without owning its internal policy.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useSessionViewMode.test.ts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Covers narrow-screen defaults, valid preference restoration, and invalid preference fallback.</w:t>
            </w:r>
          </w:p>
        </w:tc>
      </w:tr>
    </w:tbl>
    <w:p>
      <w:pPr>
        <w:spacing w:after="0"/>
      </w:pPr>
    </w:p>
    <w:p>
      <w:pPr>
        <w:pStyle w:val="Heading1"/>
      </w:pPr>
      <w:r>
        <w:t>5. Backend decomposition retained</w:t>
      </w:r>
    </w:p>
    <w:p>
      <w:r>
        <w:t>maestro-server already follows a credible inward dependency model. API routes adapt HTTP inputs; application services own use cases; domain interfaces define repositories/events; infrastructure implements filesystem, auth, WebSocket, skills, and external integrations; the container composes the graph. This structure should be extended rather than replaced.</w:t>
      </w:r>
    </w:p>
    <w:p>
      <w:pPr>
        <w:pStyle w:val="ListBullet"/>
      </w:pPr>
      <w:r>
        <w:t>Keep validation and transport mapping in API adapters.</w:t>
      </w:r>
    </w:p>
    <w:p>
      <w:pPr>
        <w:pStyle w:val="ListBullet"/>
      </w:pPr>
      <w:r>
        <w:t>Keep use-case decisions and orchestration in application services.</w:t>
      </w:r>
    </w:p>
    <w:p>
      <w:pPr>
        <w:pStyle w:val="ListBullet"/>
      </w:pPr>
      <w:r>
        <w:t>Keep business contracts free of Express, storage, and cloud SDK concerns.</w:t>
      </w:r>
    </w:p>
    <w:p>
      <w:pPr>
        <w:pStyle w:val="ListBullet"/>
      </w:pPr>
      <w:r>
        <w:t>Add new persistence or realtime implementations behind existing interfaces.</w:t>
      </w:r>
    </w:p>
    <w:p>
      <w:pPr>
        <w:pStyle w:val="Heading1"/>
      </w:pPr>
      <w:r>
        <w:t>6. Verification evidence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600"/>
        <w:gridCol w:w="1320"/>
        <w:gridCol w:w="4440"/>
      </w:tblGrid>
      <w:tr>
        <w:trPr>
          <w:tblHeader w:val="true"/>
        </w:trPr>
        <w:tc>
          <w:tcPr>
            <w:tcW w:type="dxa" w:w="3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F4D78"/>
              </w:rPr>
              <w:t>Check</w:t>
            </w:r>
          </w:p>
        </w:tc>
        <w:tc>
          <w:tcPr>
            <w:tcW w:type="dxa" w:w="13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F4D78"/>
              </w:rPr>
              <w:t>Result</w:t>
            </w:r>
          </w:p>
        </w:tc>
        <w:tc>
          <w:tcPr>
            <w:tcW w:type="dxa" w:w="444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F4D78"/>
              </w:rPr>
              <w:t>Notes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Architecture boundary check</w:t>
            </w:r>
          </w:p>
        </w:tc>
        <w:tc>
          <w:tcPr>
            <w:tcW w:type="dxa" w:w="1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PASS</w:t>
            </w:r>
          </w:p>
        </w:tc>
        <w:tc>
          <w:tcPr>
            <w:tcW w:type="dxa" w:w="4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11 grouped paths and 8 package manifests validated.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Frontend test suite</w:t>
            </w:r>
          </w:p>
        </w:tc>
        <w:tc>
          <w:tcPr>
            <w:tcW w:type="dxa" w:w="1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PASS</w:t>
            </w:r>
          </w:p>
        </w:tc>
        <w:tc>
          <w:tcPr>
            <w:tcW w:type="dxa" w:w="4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81 test files; 656 tests passed.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Frontend TypeScript + Vite build</w:t>
            </w:r>
          </w:p>
        </w:tc>
        <w:tc>
          <w:tcPr>
            <w:tcW w:type="dxa" w:w="1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PASS</w:t>
            </w:r>
          </w:p>
        </w:tc>
        <w:tc>
          <w:tcPr>
            <w:tcW w:type="dxa" w:w="4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7,226 modules transformed; production bundle completed with 4 GB Node heap.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Server TypeScript build</w:t>
            </w:r>
          </w:p>
        </w:tc>
        <w:tc>
          <w:tcPr>
            <w:tcW w:type="dxa" w:w="1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PASS</w:t>
            </w:r>
          </w:p>
        </w:tc>
        <w:tc>
          <w:tcPr>
            <w:tcW w:type="dxa" w:w="4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tsc completed.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CLI TypeScript build</w:t>
            </w:r>
          </w:p>
        </w:tc>
        <w:tc>
          <w:tcPr>
            <w:tcW w:type="dxa" w:w="1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PASS</w:t>
            </w:r>
          </w:p>
        </w:tc>
        <w:tc>
          <w:tcPr>
            <w:tcW w:type="dxa" w:w="4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tsc completed.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Diff whitespace check</w:t>
            </w:r>
          </w:p>
        </w:tc>
        <w:tc>
          <w:tcPr>
            <w:tcW w:type="dxa" w:w="1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PASS</w:t>
            </w:r>
          </w:p>
        </w:tc>
        <w:tc>
          <w:tcPr>
            <w:tcW w:type="dxa" w:w="4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No whitespace errors reported.</w:t>
            </w:r>
          </w:p>
        </w:tc>
      </w:tr>
    </w:tbl>
    <w:p>
      <w:pPr>
        <w:spacing w:after="0"/>
      </w:pPr>
    </w:p>
    <w:p>
      <w:r>
        <w:t>Non-blocking observations: the UI bundle reports large chunks and static/dynamic import overlap; these are optimization opportunities rather than correctness failures. The root build now supplies the heap needed by the current bundle graph.</w:t>
      </w:r>
    </w:p>
    <w:p>
      <w:pPr>
        <w:pStyle w:val="Heading1"/>
      </w:pPr>
      <w:r>
        <w:t>7. Safe migration roadmap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680"/>
        <w:gridCol w:w="4800"/>
        <w:gridCol w:w="2880"/>
      </w:tblGrid>
      <w:tr>
        <w:trPr>
          <w:tblHeader w:val="true"/>
        </w:trPr>
        <w:tc>
          <w:tcPr>
            <w:tcW w:type="dxa" w:w="16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F4D78"/>
              </w:rPr>
              <w:t>Stage</w:t>
            </w:r>
          </w:p>
        </w:tc>
        <w:tc>
          <w:tcPr>
            <w:tcW w:type="dxa" w:w="4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F4D78"/>
              </w:rPr>
              <w:t>Action</w:t>
            </w:r>
          </w:p>
        </w:tc>
        <w:tc>
          <w:tcPr>
            <w:tcW w:type="dxa" w:w="28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F4D78"/>
              </w:rPr>
              <w:t>Exit criterion</w:t>
            </w:r>
          </w:p>
        </w:tc>
      </w:tr>
      <w:tr>
        <w:tc>
          <w:tcPr>
            <w:tcW w:type="dxa" w:w="1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Now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Use architecture.json as the canonical grouping; require check:architecture in local/CI validation.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No cross-layer package dependency violations.</w:t>
            </w:r>
          </w:p>
        </w:tc>
      </w:tr>
      <w:tr>
        <w:tc>
          <w:tcPr>
            <w:tcW w:type="dxa" w:w="1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Next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Continue feature extraction from large UI components into feature folders, hooks, services, and platform adapters.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New behavior has focused tests and narrow public APIs.</w:t>
            </w:r>
          </w:p>
        </w:tc>
      </w:tr>
      <w:tr>
        <w:tc>
          <w:tcPr>
            <w:tcW w:type="dxa" w:w="1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Then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Extract additional shared API/event schemas only where at least two runtimes consume them.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Contracts remain runtime-independent and versioned.</w:t>
            </w:r>
          </w:p>
        </w:tc>
      </w:tr>
      <w:tr>
        <w:tc>
          <w:tcPr>
            <w:tcW w:type="dxa" w:w="1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Dedicated migration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Optionally move physical paths to apps/ and packages/ with scripted reference updates and compatibility shims.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Desktop, web, CLI, server, gateway, mobile, CI, and deploy smoke tests pass.</w:t>
            </w:r>
          </w:p>
        </w:tc>
      </w:tr>
    </w:tbl>
    <w:p>
      <w:pPr>
        <w:spacing w:after="0"/>
      </w:pPr>
    </w:p>
    <w:p>
      <w:pPr>
        <w:pStyle w:val="Heading1"/>
      </w:pPr>
      <w:r>
        <w:t>8. Release checklist</w:t>
      </w:r>
    </w:p>
    <w:p>
      <w:pPr>
        <w:pStyle w:val="ListBullet"/>
      </w:pPr>
      <w:r>
        <w:t>Run bun run check:architecture.</w:t>
      </w:r>
    </w:p>
    <w:p>
      <w:pPr>
        <w:pStyle w:val="ListBullet"/>
      </w:pPr>
      <w:r>
        <w:t>Run the primary frontend, server, CLI, and shared-protocol tests.</w:t>
      </w:r>
    </w:p>
    <w:p>
      <w:pPr>
        <w:pStyle w:val="ListBullet"/>
      </w:pPr>
      <w:r>
        <w:t>Run bun run build:all and review Vite warnings for new regressions.</w:t>
      </w:r>
    </w:p>
    <w:p>
      <w:pPr>
        <w:pStyle w:val="ListBullet"/>
      </w:pPr>
      <w:r>
        <w:t>Confirm git diff --check and review all staged files before commit.</w:t>
      </w:r>
    </w:p>
    <w:p>
      <w:pPr>
        <w:pStyle w:val="ListBullet"/>
      </w:pPr>
      <w:r>
        <w:t>Push staging only after GitHub authentication succeeds and verify the staging deployment workflow.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E74B5"/>
              </w:rPr>
              <w:t xml:space="preserve">CURRENT PUBLISHING CONSTRAINT  </w:t>
            </w:r>
            <w:r>
              <w:t>The local staging branch can be committed and is ready to push, but both configured GitHub CLI credentials were invalid at audit time. Re-authentication with gh auth login is required before the remote staging branch can be updated.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F6B76"/>
        <w:sz w:val="18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5F6B76"/>
        <w:sz w:val="18"/>
      </w:rPr>
      <w:t>MAESTRO  /  CODEBASE ARCHITECTURE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1721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7212B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320"/>
    </w:pPr>
    <w:rPr>
      <w:rFonts w:asciiTheme="majorHAnsi" w:eastAsiaTheme="majorEastAsia" w:hAnsiTheme="majorHAnsi" w:cstheme="majorBidi" w:ascii="Calibri" w:hAnsi="Calibri"/>
      <w:b w:val="0"/>
      <w:i/>
      <w:iCs/>
      <w:color w:val="5F6B76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Maestro Codebase Architecture Report</dc:title>
  <dc:subject>Frontend/backend decomposition and release readiness</dc:subject>
  <dc:creator>Maestro Engineering</dc:creator>
  <cp:keywords>Maestro, architecture, frontend, backend, monorepo, staging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