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rFonts w:ascii="Arial" w:cs="Arial" w:eastAsia="Arial" w:hAnsi="Arial"/>
          <w:b/>
          <w:bCs/>
          <w:color w:val="2E86AB"/>
          <w:spacing w:val="200"/>
          <w:sz w:val="22"/>
          <w:szCs w:val="22"/>
        </w:rPr>
        <w:t xml:space="preserve">PRODUCT REQUIREMENTS DOCUMENT</w:t>
      </w:r>
    </w:p>
    <w:p>
      <w:pPr>
        <w:spacing w:after="120"/>
        <w:jc w:val="center"/>
      </w:pPr>
      <w:r>
        <w:rPr>
          <w:rFonts w:ascii="Arial" w:cs="Arial" w:eastAsia="Arial" w:hAnsi="Arial"/>
          <w:b/>
          <w:bCs/>
          <w:color w:val="1B3A5C"/>
          <w:sz w:val="52"/>
          <w:szCs w:val="52"/>
        </w:rPr>
        <w:t xml:space="preserve">FinStack Navigator</w:t>
      </w:r>
    </w:p>
    <w:p>
      <w:pPr>
        <w:spacing w:after="200"/>
        <w:jc w:val="center"/>
      </w:pPr>
      <w:r>
        <w:rPr>
          <w:rFonts w:ascii="Arial" w:cs="Arial" w:eastAsia="Arial" w:hAnsi="Arial"/>
          <w:i/>
          <w:iCs/>
          <w:color w:val="555555"/>
          <w:sz w:val="24"/>
          <w:szCs w:val="24"/>
        </w:rPr>
        <w:t xml:space="preserve">AI Transformation Intelligence Platform for the Finance Tech Stack</w:t>
      </w:r>
    </w:p>
    <w:p>
      <w:pPr>
        <w:spacing w:after="400"/>
        <w:jc w:val="center"/>
      </w:pPr>
      <w:r>
        <w:rPr>
          <w:rFonts w:ascii="Arial" w:cs="Arial" w:eastAsia="Arial" w:hAnsi="Arial"/>
          <w:b/>
          <w:bCs/>
          <w:color w:val="0D7C3F"/>
          <w:sz w:val="21"/>
          <w:szCs w:val="21"/>
        </w:rPr>
        <w:t xml:space="preserve">Map every finance process. Assess AI readiness. Recommend the right tools.</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1B3A5C"/>
                <w:sz w:val="20"/>
                <w:szCs w:val="20"/>
              </w:rPr>
              <w:t xml:space="preserve">Author</w:t>
            </w:r>
          </w:p>
        </w:tc>
        <w:tc>
          <w:tcPr>
            <w:tcW w:type="dxa" w:w="3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Subhash Segireddy</w:t>
            </w:r>
          </w:p>
        </w:tc>
      </w:tr>
      <w:tr>
        <w:tc>
          <w:tcPr>
            <w:tcW w:type="dxa" w:w="2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3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February 7, 2026</w:t>
            </w:r>
          </w:p>
        </w:tc>
      </w:tr>
      <w:tr>
        <w:tc>
          <w:tcPr>
            <w:tcW w:type="dxa" w:w="2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3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3.0 — AI-First MVP with Semantic Mapping</w:t>
            </w:r>
          </w:p>
        </w:tc>
      </w:tr>
      <w:tr>
        <w:tc>
          <w:tcPr>
            <w:tcW w:type="dxa" w:w="2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1B3A5C"/>
                <w:sz w:val="20"/>
                <w:szCs w:val="20"/>
              </w:rPr>
              <w:t xml:space="preserve">Status</w:t>
            </w:r>
          </w:p>
        </w:tc>
        <w:tc>
          <w:tcPr>
            <w:tcW w:type="dxa" w:w="3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Draft</w:t>
            </w:r>
          </w:p>
        </w:tc>
      </w:tr>
      <w:tr>
        <w:tc>
          <w:tcPr>
            <w:tcW w:type="dxa" w:w="2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1B3A5C"/>
                <w:sz w:val="20"/>
                <w:szCs w:val="20"/>
              </w:rPr>
              <w:t xml:space="preserve">Build Target</w:t>
            </w:r>
          </w:p>
        </w:tc>
        <w:tc>
          <w:tcPr>
            <w:tcW w:type="dxa" w:w="3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3-Day MVP via Claude Code</w:t>
            </w:r>
          </w:p>
        </w:tc>
      </w:tr>
    </w:tbl>
    <w:p>
      <w:r>
        <w:br w:type="page"/>
      </w:r>
    </w:p>
    <w:p>
      <w:pPr>
        <w:pStyle w:val="Heading1"/>
        <w:spacing w:before="360" w:after="200"/>
      </w:pPr>
      <w:r>
        <w:rPr>
          <w:rFonts w:ascii="Arial" w:cs="Arial" w:eastAsia="Arial" w:hAnsi="Arial"/>
          <w:b/>
          <w:bCs/>
          <w:color w:val="1B3A5C"/>
          <w:sz w:val="32"/>
          <w:szCs w:val="32"/>
        </w:rPr>
        <w:t xml:space="preserve">1. Problem Statement</w:t>
      </w:r>
    </w:p>
    <w:p>
      <w:pPr>
        <w:spacing w:after="120" w:line="276"/>
      </w:pPr>
      <w:r>
        <w:rPr>
          <w:rFonts w:ascii="Arial" w:cs="Arial" w:eastAsia="Arial" w:hAnsi="Arial"/>
          <w:color w:val="2C3E50"/>
          <w:sz w:val="21"/>
          <w:szCs w:val="21"/>
        </w:rPr>
        <w:t xml:space="preserve">Management consultants selling AI transformation projects to finance teams face a dual challenge: they must deeply understand each step of a client's finance processes AND know which AI-powered tools can improve each step. Today, there is no structured platform that combines process-level workflow mapping with tool-level AI capability assessment across the finance tech stack.</w:t>
      </w:r>
    </w:p>
    <w:p>
      <w:pPr>
        <w:spacing w:after="120" w:line="276"/>
      </w:pPr>
      <w:r>
        <w:rPr>
          <w:rFonts w:ascii="Arial" w:cs="Arial" w:eastAsia="Arial" w:hAnsi="Arial"/>
          <w:color w:val="2C3E50"/>
          <w:sz w:val="21"/>
          <w:szCs w:val="21"/>
        </w:rPr>
        <w:t xml:space="preserve">This creates compounding problems for every engagement:</w:t>
      </w:r>
    </w:p>
    <w:p>
      <w:pPr>
        <w:spacing w:after="80"/>
      </w:pPr>
    </w:p>
    <w:p>
      <w:pPr>
        <w:pStyle w:val="ListParagraph"/>
        <w:numPr>
          <w:ilvl w:val="0"/>
          <w:numId w:val="2"/>
        </w:numPr>
        <w:spacing w:after="60" w:line="276"/>
      </w:pPr>
      <w:r>
        <w:rPr>
          <w:rFonts w:ascii="Arial" w:cs="Arial" w:eastAsia="Arial" w:hAnsi="Arial"/>
          <w:b/>
          <w:bCs/>
          <w:color w:val="2C3E50"/>
          <w:sz w:val="21"/>
          <w:szCs w:val="21"/>
        </w:rPr>
        <w:t xml:space="preserve">No process-to-tool mapping: </w:t>
      </w:r>
      <w:r>
        <w:rPr>
          <w:rFonts w:ascii="Arial" w:cs="Arial" w:eastAsia="Arial" w:hAnsi="Arial"/>
          <w:color w:val="2C3E50"/>
          <w:sz w:val="21"/>
          <w:szCs w:val="21"/>
        </w:rPr>
        <w:t xml:space="preserve">Consultants know tools exist, but cannot quickly articulate how a specific AI tool improves step 4 of 10 in an AP workflow vs. step 7. This makes it hard to build compelling, process-specific AI transformation roadmaps.</w:t>
      </w:r>
    </w:p>
    <w:p>
      <w:pPr>
        <w:pStyle w:val="ListParagraph"/>
        <w:numPr>
          <w:ilvl w:val="0"/>
          <w:numId w:val="2"/>
        </w:numPr>
        <w:spacing w:after="60" w:line="276"/>
      </w:pPr>
      <w:r>
        <w:rPr>
          <w:rFonts w:ascii="Arial" w:cs="Arial" w:eastAsia="Arial" w:hAnsi="Arial"/>
          <w:b/>
          <w:bCs/>
          <w:color w:val="2C3E50"/>
          <w:sz w:val="21"/>
          <w:szCs w:val="21"/>
        </w:rPr>
        <w:t xml:space="preserve">AI capability opacity: </w:t>
      </w:r>
      <w:r>
        <w:rPr>
          <w:rFonts w:ascii="Arial" w:cs="Arial" w:eastAsia="Arial" w:hAnsi="Arial"/>
          <w:color w:val="2C3E50"/>
          <w:sz w:val="21"/>
          <w:szCs w:val="21"/>
        </w:rPr>
        <w:t xml:space="preserve">Vendors all claim “AI-powered” but there’s no standardized way to assess what that means—is it basic OCR, ML-based anomaly detection, or full generative AI with natural language querying? Consultants can’t differentiate without hours of research.</w:t>
      </w:r>
    </w:p>
    <w:p>
      <w:pPr>
        <w:pStyle w:val="ListParagraph"/>
        <w:numPr>
          <w:ilvl w:val="0"/>
          <w:numId w:val="2"/>
        </w:numPr>
        <w:spacing w:after="60" w:line="276"/>
      </w:pPr>
      <w:r>
        <w:rPr>
          <w:rFonts w:ascii="Arial" w:cs="Arial" w:eastAsia="Arial" w:hAnsi="Arial"/>
          <w:b/>
          <w:bCs/>
          <w:color w:val="2C3E50"/>
          <w:sz w:val="21"/>
          <w:szCs w:val="21"/>
        </w:rPr>
        <w:t xml:space="preserve">Missing commercial context: </w:t>
      </w:r>
      <w:r>
        <w:rPr>
          <w:rFonts w:ascii="Arial" w:cs="Arial" w:eastAsia="Arial" w:hAnsi="Arial"/>
          <w:color w:val="2C3E50"/>
          <w:sz w:val="21"/>
          <w:szCs w:val="21"/>
        </w:rPr>
        <w:t xml:space="preserve">A recommendation without pricing structure is incomplete. Decision-makers need to understand if a tool is $5/user/month or $500K/year enterprise, and whether AI features are included or add-on.</w:t>
      </w:r>
    </w:p>
    <w:p>
      <w:pPr>
        <w:pStyle w:val="ListParagraph"/>
        <w:numPr>
          <w:ilvl w:val="0"/>
          <w:numId w:val="2"/>
        </w:numPr>
        <w:spacing w:after="60" w:line="276"/>
      </w:pPr>
      <w:r>
        <w:rPr>
          <w:rFonts w:ascii="Arial" w:cs="Arial" w:eastAsia="Arial" w:hAnsi="Arial"/>
          <w:b/>
          <w:bCs/>
          <w:color w:val="2C3E50"/>
          <w:sz w:val="21"/>
          <w:szCs w:val="21"/>
        </w:rPr>
        <w:t xml:space="preserve">Stale knowledge: </w:t>
      </w:r>
      <w:r>
        <w:rPr>
          <w:rFonts w:ascii="Arial" w:cs="Arial" w:eastAsia="Arial" w:hAnsi="Arial"/>
          <w:color w:val="2C3E50"/>
          <w:sz w:val="21"/>
          <w:szCs w:val="21"/>
        </w:rPr>
        <w:t xml:space="preserve">The finance AI market moves fast—new entrants, acquisitions, and feature launches make last quarter’s knowledge unreliable. Without a mechanism for refresh, the platform’s value degrades quickly.</w:t>
      </w:r>
    </w:p>
    <w:p>
      <w:pPr>
        <w:pStyle w:val="ListParagraph"/>
        <w:numPr>
          <w:ilvl w:val="0"/>
          <w:numId w:val="2"/>
        </w:numPr>
        <w:spacing w:after="60" w:line="276"/>
      </w:pPr>
      <w:r>
        <w:rPr>
          <w:rFonts w:ascii="Arial" w:cs="Arial" w:eastAsia="Arial" w:hAnsi="Arial"/>
          <w:b/>
          <w:bCs/>
          <w:color w:val="2C3E50"/>
          <w:sz w:val="21"/>
          <w:szCs w:val="21"/>
        </w:rPr>
        <w:t xml:space="preserve">Rigid terminology: </w:t>
      </w:r>
      <w:r>
        <w:rPr>
          <w:rFonts w:ascii="Arial" w:cs="Arial" w:eastAsia="Arial" w:hAnsi="Arial"/>
          <w:color w:val="2C3E50"/>
          <w:sz w:val="21"/>
          <w:szCs w:val="21"/>
        </w:rPr>
        <w:t xml:space="preserve">Every organization uses different names for the same finance processes. One client calls it ‘budgeting,’ another calls it ‘target-setting,’ a third says ‘AOP.’ A platform with rigid process labels fails consultants who need to speak each client’s language.</w:t>
      </w:r>
    </w:p>
    <w:p>
      <w:pPr>
        <w:spacing w:after="80"/>
      </w:pPr>
    </w:p>
    <w:p>
      <w:pPr>
        <w:spacing w:after="120" w:line="276"/>
      </w:pPr>
      <w:r>
        <w:rPr>
          <w:rFonts w:ascii="Arial" w:cs="Arial" w:eastAsia="Arial" w:hAnsi="Arial"/>
          <w:color w:val="2C3E50"/>
          <w:sz w:val="21"/>
          <w:szCs w:val="21"/>
        </w:rPr>
        <w:t xml:space="preserve">If left unsolved, the firm risks proposing generic AI transformations that don’t map to client workflows, recommending tools based on incomplete AI capability data, and losing credibility to competitors who present more rigorous, process-specific analysis.</w:t>
      </w:r>
    </w:p>
    <w:p>
      <w:pPr>
        <w:pStyle w:val="Heading1"/>
        <w:spacing w:before="360" w:after="200"/>
      </w:pPr>
      <w:r>
        <w:rPr>
          <w:rFonts w:ascii="Arial" w:cs="Arial" w:eastAsia="Arial" w:hAnsi="Arial"/>
          <w:b/>
          <w:bCs/>
          <w:color w:val="1B3A5C"/>
          <w:sz w:val="32"/>
          <w:szCs w:val="32"/>
        </w:rPr>
        <w:t xml:space="preserve">2. Product Vision</w:t>
      </w:r>
    </w:p>
    <w:p>
      <w:pPr>
        <w:spacing w:after="120" w:line="276"/>
      </w:pPr>
      <w:r>
        <w:rPr>
          <w:rFonts w:ascii="Arial" w:cs="Arial" w:eastAsia="Arial" w:hAnsi="Arial"/>
          <w:color w:val="2C3E50"/>
          <w:sz w:val="21"/>
          <w:szCs w:val="21"/>
        </w:rPr>
        <w:t xml:space="preserve">FinStack Navigator is an AI transformation intelligence platform that enables consultants to:</w:t>
      </w:r>
    </w:p>
    <w:p>
      <w:pPr>
        <w:spacing w:after="80"/>
      </w:pPr>
    </w:p>
    <w:p>
      <w:pPr>
        <w:pStyle w:val="ListParagraph"/>
        <w:numPr>
          <w:ilvl w:val="0"/>
          <w:numId w:val="2"/>
        </w:numPr>
        <w:spacing w:after="60" w:line="276"/>
      </w:pPr>
      <w:r>
        <w:rPr>
          <w:rFonts w:ascii="Arial" w:cs="Arial" w:eastAsia="Arial" w:hAnsi="Arial"/>
          <w:b/>
          <w:bCs/>
          <w:color w:val="2C3E50"/>
          <w:sz w:val="21"/>
          <w:szCs w:val="21"/>
        </w:rPr>
        <w:t xml:space="preserve">Map: </w:t>
      </w:r>
      <w:r>
        <w:rPr>
          <w:rFonts w:ascii="Arial" w:cs="Arial" w:eastAsia="Arial" w:hAnsi="Arial"/>
          <w:color w:val="2C3E50"/>
          <w:sz w:val="21"/>
          <w:szCs w:val="21"/>
        </w:rPr>
        <w:t xml:space="preserve">Visualize every sub-process in a finance function (AP, FP&amp;A, etc.) as a detailed workflow with 8–12 steps.</w:t>
      </w:r>
    </w:p>
    <w:p>
      <w:pPr>
        <w:pStyle w:val="ListParagraph"/>
        <w:numPr>
          <w:ilvl w:val="0"/>
          <w:numId w:val="2"/>
        </w:numPr>
        <w:spacing w:after="60" w:line="276"/>
      </w:pPr>
      <w:r>
        <w:rPr>
          <w:rFonts w:ascii="Arial" w:cs="Arial" w:eastAsia="Arial" w:hAnsi="Arial"/>
          <w:b/>
          <w:bCs/>
          <w:color w:val="2C3E50"/>
          <w:sz w:val="21"/>
          <w:szCs w:val="21"/>
        </w:rPr>
        <w:t xml:space="preserve">Assess: </w:t>
      </w:r>
      <w:r>
        <w:rPr>
          <w:rFonts w:ascii="Arial" w:cs="Arial" w:eastAsia="Arial" w:hAnsi="Arial"/>
          <w:color w:val="2C3E50"/>
          <w:sz w:val="21"/>
          <w:szCs w:val="21"/>
        </w:rPr>
        <w:t xml:space="preserve">See each tool’s AI maturity (None → Basic Automation → ML-Powered → GenAI-Native) with specific AI features at each process step.</w:t>
      </w:r>
    </w:p>
    <w:p>
      <w:pPr>
        <w:pStyle w:val="ListParagraph"/>
        <w:numPr>
          <w:ilvl w:val="0"/>
          <w:numId w:val="2"/>
        </w:numPr>
        <w:spacing w:after="60" w:line="276"/>
      </w:pPr>
      <w:r>
        <w:rPr>
          <w:rFonts w:ascii="Arial" w:cs="Arial" w:eastAsia="Arial" w:hAnsi="Arial"/>
          <w:b/>
          <w:bCs/>
          <w:color w:val="2C3E50"/>
          <w:sz w:val="21"/>
          <w:szCs w:val="21"/>
        </w:rPr>
        <w:t xml:space="preserve">Compare: </w:t>
      </w:r>
      <w:r>
        <w:rPr>
          <w:rFonts w:ascii="Arial" w:cs="Arial" w:eastAsia="Arial" w:hAnsi="Arial"/>
          <w:color w:val="2C3E50"/>
          <w:sz w:val="21"/>
          <w:szCs w:val="21"/>
        </w:rPr>
        <w:t xml:space="preserve">View before/after impact of AI adoption per process step—time savings, error reduction, headcount implications.</w:t>
      </w:r>
    </w:p>
    <w:p>
      <w:pPr>
        <w:pStyle w:val="ListParagraph"/>
        <w:numPr>
          <w:ilvl w:val="0"/>
          <w:numId w:val="2"/>
        </w:numPr>
        <w:spacing w:after="60" w:line="276"/>
      </w:pPr>
      <w:r>
        <w:rPr>
          <w:rFonts w:ascii="Arial" w:cs="Arial" w:eastAsia="Arial" w:hAnsi="Arial"/>
          <w:b/>
          <w:bCs/>
          <w:color w:val="2C3E50"/>
          <w:sz w:val="21"/>
          <w:szCs w:val="21"/>
        </w:rPr>
        <w:t xml:space="preserve">Recommend: </w:t>
      </w:r>
      <w:r>
        <w:rPr>
          <w:rFonts w:ascii="Arial" w:cs="Arial" w:eastAsia="Arial" w:hAnsi="Arial"/>
          <w:color w:val="2C3E50"/>
          <w:sz w:val="21"/>
          <w:szCs w:val="21"/>
        </w:rPr>
        <w:t xml:space="preserve">Generate client-ready deliverables that say “For your AP process, here’s how Tool X automates steps 3, 5, and 8, at this pricing, with these integrations.”</w:t>
      </w:r>
    </w:p>
    <w:p>
      <w:pPr>
        <w:pStyle w:val="ListParagraph"/>
        <w:numPr>
          <w:ilvl w:val="0"/>
          <w:numId w:val="2"/>
        </w:numPr>
        <w:spacing w:after="60" w:line="276"/>
      </w:pPr>
      <w:r>
        <w:rPr>
          <w:rFonts w:ascii="Arial" w:cs="Arial" w:eastAsia="Arial" w:hAnsi="Arial"/>
          <w:b/>
          <w:bCs/>
          <w:color w:val="2C3E50"/>
          <w:sz w:val="21"/>
          <w:szCs w:val="21"/>
        </w:rPr>
        <w:t xml:space="preserve">Understand: </w:t>
      </w:r>
      <w:r>
        <w:rPr>
          <w:rFonts w:ascii="Arial" w:cs="Arial" w:eastAsia="Arial" w:hAnsi="Arial"/>
          <w:color w:val="2C3E50"/>
          <w:sz w:val="21"/>
          <w:szCs w:val="21"/>
        </w:rPr>
        <w:t xml:space="preserve">Accept any natural language input — ‘rolling estimates,’ ‘AOP,’ ‘payment automation’ — and semantically map it to the right process steps and tools, so the platform speaks every client’s language.</w:t>
      </w:r>
    </w:p>
    <w:p>
      <w:pPr>
        <w:spacing w:after="80"/>
      </w:pPr>
    </w:p>
    <w:p>
      <w:pPr>
        <w:spacing w:after="120" w:line="276"/>
      </w:pPr>
      <w:r>
        <w:rPr>
          <w:rFonts w:ascii="Arial" w:cs="Arial" w:eastAsia="Arial" w:hAnsi="Arial"/>
          <w:color w:val="2C3E50"/>
          <w:sz w:val="21"/>
          <w:szCs w:val="21"/>
        </w:rPr>
        <w:t xml:space="preserve">This is not a generic software directory. It is a consultant’s workbench for building process-specific AI transformation proposals.</w:t>
      </w:r>
    </w:p>
    <w:p>
      <w:pPr>
        <w:pStyle w:val="Heading1"/>
        <w:spacing w:before="360" w:after="200"/>
      </w:pPr>
      <w:r>
        <w:rPr>
          <w:rFonts w:ascii="Arial" w:cs="Arial" w:eastAsia="Arial" w:hAnsi="Arial"/>
          <w:b/>
          <w:bCs/>
          <w:color w:val="1B3A5C"/>
          <w:sz w:val="32"/>
          <w:szCs w:val="32"/>
        </w:rPr>
        <w:t xml:space="preserve">3. Goals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3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Success Measure</w:t>
            </w:r>
          </w:p>
        </w:tc>
      </w:tr>
      <w:tr>
        <w:tc>
          <w:tcPr>
            <w:tcW w:type="dxa" w:w="5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G1</w:t>
            </w:r>
          </w:p>
        </w:tc>
        <w:tc>
          <w:tcPr>
            <w:tcW w:type="dxa" w:w="55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Enable process-level AI opportunity mapping for AP and FP&amp;A within 5 minutes per function</w:t>
            </w:r>
          </w:p>
        </w:tc>
        <w:tc>
          <w:tcPr>
            <w:tcW w:type="dxa" w:w="33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Consultant can generate a process flow with AI overlays in &lt;5 min</w:t>
            </w:r>
          </w:p>
        </w:tc>
      </w:tr>
      <w:tr>
        <w:tc>
          <w:tcPr>
            <w:tcW w:type="dxa" w:w="5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G2</w:t>
            </w:r>
          </w:p>
        </w:tc>
        <w:tc>
          <w:tcPr>
            <w:tcW w:type="dxa" w:w="55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Provide structured AI maturity scoring and specific AI feature data for every listed tool</w:t>
            </w:r>
          </w:p>
        </w:tc>
        <w:tc>
          <w:tcPr>
            <w:tcW w:type="dxa" w:w="33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100% of tools have AI maturity score + ≥3 specific AI features documented</w:t>
            </w:r>
          </w:p>
        </w:tc>
      </w:tr>
      <w:tr>
        <w:tc>
          <w:tcPr>
            <w:tcW w:type="dxa" w:w="5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G3</w:t>
            </w:r>
          </w:p>
        </w:tc>
        <w:tc>
          <w:tcPr>
            <w:tcW w:type="dxa" w:w="55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Include pricing/commercial structure for every tool where publicly available</w:t>
            </w:r>
          </w:p>
        </w:tc>
        <w:tc>
          <w:tcPr>
            <w:tcW w:type="dxa" w:w="33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≥80% of tools have pricing data; remainder marked ‘Contact vendor’</w:t>
            </w:r>
          </w:p>
        </w:tc>
      </w:tr>
      <w:tr>
        <w:tc>
          <w:tcPr>
            <w:tcW w:type="dxa" w:w="5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G4</w:t>
            </w:r>
          </w:p>
        </w:tc>
        <w:tc>
          <w:tcPr>
            <w:tcW w:type="dxa" w:w="55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Show before/after impact of AI at each process step (time, cost, accuracy)</w:t>
            </w:r>
          </w:p>
        </w:tc>
        <w:tc>
          <w:tcPr>
            <w:tcW w:type="dxa" w:w="33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Every process step has a quantified or estimated before/after comparison</w:t>
            </w:r>
          </w:p>
        </w:tc>
      </w:tr>
      <w:tr>
        <w:tc>
          <w:tcPr>
            <w:tcW w:type="dxa" w:w="5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G5</w:t>
            </w:r>
          </w:p>
        </w:tc>
        <w:tc>
          <w:tcPr>
            <w:tcW w:type="dxa" w:w="55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Architect for live data refresh so information stays current across tool updates</w:t>
            </w:r>
          </w:p>
        </w:tc>
        <w:tc>
          <w:tcPr>
            <w:tcW w:type="dxa" w:w="33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Data model supports last-refreshed timestamps; AI re-research can be triggered per tool</w:t>
            </w:r>
          </w:p>
        </w:tc>
      </w:tr>
      <w:tr>
        <w:tc>
          <w:tcPr>
            <w:tcW w:type="dxa" w:w="5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G6</w:t>
            </w:r>
          </w:p>
        </w:tc>
        <w:tc>
          <w:tcPr>
            <w:tcW w:type="dxa" w:w="55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Map any natural language finance term to the correct canonical process steps with &gt;85% accuracy on first attempt</w:t>
            </w:r>
          </w:p>
        </w:tc>
        <w:tc>
          <w:tcPr>
            <w:tcW w:type="dxa" w:w="33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Semantic mapping resolves &gt;85% of queries without user disambiguation</w:t>
            </w:r>
          </w:p>
        </w:tc>
      </w:tr>
    </w:tbl>
    <w:p>
      <w:pPr>
        <w:pStyle w:val="Heading1"/>
        <w:spacing w:before="360" w:after="200"/>
      </w:pPr>
      <w:r>
        <w:rPr>
          <w:rFonts w:ascii="Arial" w:cs="Arial" w:eastAsia="Arial" w:hAnsi="Arial"/>
          <w:b/>
          <w:bCs/>
          <w:color w:val="1B3A5C"/>
          <w:sz w:val="32"/>
          <w:szCs w:val="32"/>
        </w:rPr>
        <w:t xml:space="preserve">4. Non-Goals (Explicitly Out of Scope for MVP)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Non-Goal</w:t>
            </w:r>
          </w:p>
        </w:tc>
        <w:tc>
          <w:tcPr>
            <w:tcW w:type="dxa" w:w="46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Full finance stack coverage (all 12 categories)</w:t>
            </w:r>
          </w:p>
        </w:tc>
        <w:tc>
          <w:tcPr>
            <w:tcW w:type="dxa" w:w="4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MVP validates the model with FP&amp;A and AP; scale to others in Phase 2</w:t>
            </w:r>
          </w:p>
        </w:tc>
      </w:tr>
      <w:tr>
        <w:tc>
          <w:tcPr>
            <w:tcW w:type="dxa" w:w="4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Real-time API integration with G2/Capterra</w:t>
            </w:r>
          </w:p>
        </w:tc>
        <w:tc>
          <w:tcPr>
            <w:tcW w:type="dxa" w:w="4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AI-assisted research with manual review is sufficient for V1; live APIs are Phase 3</w:t>
            </w:r>
          </w:p>
        </w:tc>
      </w:tr>
      <w:tr>
        <w:tc>
          <w:tcPr>
            <w:tcW w:type="dxa" w:w="4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Vendor self-service portal</w:t>
            </w:r>
          </w:p>
        </w:tc>
        <w:tc>
          <w:tcPr>
            <w:tcW w:type="dxa" w:w="4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Curator-controlled data is more trustworthy; vendor submissions introduce quality risk</w:t>
            </w:r>
          </w:p>
        </w:tc>
      </w:tr>
      <w:tr>
        <w:tc>
          <w:tcPr>
            <w:tcW w:type="dxa" w:w="4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User accounts and RBAC</w:t>
            </w:r>
          </w:p>
        </w:tc>
        <w:tc>
          <w:tcPr>
            <w:tcW w:type="dxa" w:w="4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Single-tenant for the consulting team; auth adds build time without MVP value</w:t>
            </w:r>
          </w:p>
        </w:tc>
      </w:tr>
      <w:tr>
        <w:tc>
          <w:tcPr>
            <w:tcW w:type="dxa" w:w="4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Proprietary/gated pricing data</w:t>
            </w:r>
          </w:p>
        </w:tc>
        <w:tc>
          <w:tcPr>
            <w:tcW w:type="dxa" w:w="4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Include only publicly available pricing; do not scrape gated or NDA-protected data</w:t>
            </w:r>
          </w:p>
        </w:tc>
      </w:tr>
      <w:tr>
        <w:tc>
          <w:tcPr>
            <w:tcW w:type="dxa" w:w="4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Automated client proposal generation</w:t>
            </w:r>
          </w:p>
        </w:tc>
        <w:tc>
          <w:tcPr>
            <w:tcW w:type="dxa" w:w="4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The platform provides the data; proposal assembly is a Phase 2 feature</w:t>
            </w:r>
          </w:p>
        </w:tc>
      </w:tr>
    </w:tbl>
    <w:p>
      <w:r>
        <w:br w:type="page"/>
      </w:r>
    </w:p>
    <w:p>
      <w:pPr>
        <w:pStyle w:val="Heading1"/>
        <w:spacing w:before="360" w:after="200"/>
      </w:pPr>
      <w:r>
        <w:rPr>
          <w:rFonts w:ascii="Arial" w:cs="Arial" w:eastAsia="Arial" w:hAnsi="Arial"/>
          <w:b/>
          <w:bCs/>
          <w:color w:val="1B3A5C"/>
          <w:sz w:val="32"/>
          <w:szCs w:val="32"/>
        </w:rPr>
        <w:t xml:space="preserve">5. Semantic Mapping System (Core Architecture)</w:t>
      </w:r>
    </w:p>
    <w:p>
      <w:pPr>
        <w:spacing w:after="120" w:line="276"/>
      </w:pPr>
      <w:r>
        <w:rPr>
          <w:rFonts w:ascii="Arial" w:cs="Arial" w:eastAsia="Arial" w:hAnsi="Arial"/>
          <w:color w:val="2C3E50"/>
          <w:sz w:val="21"/>
          <w:szCs w:val="21"/>
        </w:rPr>
        <w:t xml:space="preserve">A critical architectural requirement is that the platform must not require users to know the exact canonical step names. Consultants and clients use different terminology for the same processes — ‘budgeting’ vs. ‘targets’ vs. ‘AOP,’ or ‘invoice processing’ vs. ‘AP automation.’ The platform resolves this through a three-layer semantic mapping system.</w:t>
      </w:r>
    </w:p>
    <w:p>
      <w:pPr>
        <w:pStyle w:val="Heading2"/>
        <w:spacing w:before="280" w:after="160"/>
      </w:pPr>
      <w:r>
        <w:rPr>
          <w:rFonts w:ascii="Arial" w:cs="Arial" w:eastAsia="Arial" w:hAnsi="Arial"/>
          <w:b/>
          <w:bCs/>
          <w:color w:val="2E86AB"/>
          <w:sz w:val="26"/>
          <w:szCs w:val="26"/>
        </w:rPr>
        <w:t xml:space="preserve">5.1 Layer 1: Canonical Taxonomy (The Spine)</w:t>
      </w:r>
    </w:p>
    <w:p>
      <w:pPr>
        <w:spacing w:after="120" w:line="276"/>
      </w:pPr>
      <w:r>
        <w:rPr>
          <w:rFonts w:ascii="Arial" w:cs="Arial" w:eastAsia="Arial" w:hAnsi="Arial"/>
          <w:color w:val="2C3E50"/>
          <w:sz w:val="21"/>
          <w:szCs w:val="21"/>
        </w:rPr>
        <w:t xml:space="preserve">The platform maintains a curated, authoritative set of process steps per finance function — such as the 10 AP steps and 10 FP&amp;A steps defined in Section 6. These canonical steps are the structural backbone: tools are mapped to them, before/after metrics are attached to them, and process flow visualizations are built from them. This taxonomy is updated infrequently and represents the firm’s intellectual property.</w:t>
      </w:r>
    </w:p>
    <w:p>
      <w:pPr>
        <w:pStyle w:val="Heading2"/>
        <w:spacing w:before="280" w:after="160"/>
      </w:pPr>
      <w:r>
        <w:rPr>
          <w:rFonts w:ascii="Arial" w:cs="Arial" w:eastAsia="Arial" w:hAnsi="Arial"/>
          <w:b/>
          <w:bCs/>
          <w:color w:val="2E86AB"/>
          <w:sz w:val="26"/>
          <w:szCs w:val="26"/>
        </w:rPr>
        <w:t xml:space="preserve">5.2 Layer 2: Alias &amp; Concept Graph (The Translator)</w:t>
      </w:r>
    </w:p>
    <w:p>
      <w:pPr>
        <w:spacing w:after="120" w:line="276"/>
      </w:pPr>
      <w:r>
        <w:rPr>
          <w:rFonts w:ascii="Arial" w:cs="Arial" w:eastAsia="Arial" w:hAnsi="Arial"/>
          <w:color w:val="2C3E50"/>
          <w:sz w:val="21"/>
          <w:szCs w:val="21"/>
        </w:rPr>
        <w:t xml:space="preserve">Each canonical step is enriched with 30–50+ associated terms covering synonyms, sub-concepts, industry jargon, acronyms, and regional variations. This layer is pre-built at launch using AI-generated aliases reviewed by curators, and it learns from usage over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8C9D9" w:sz="1"/>
              <w:left w:val="single" w:color="B8C9D9" w:sz="1"/>
              <w:bottom w:val="single" w:color="B8C9D9" w:sz="1"/>
              <w:right w:val="single" w:color="B8C9D9" w:sz="1"/>
            </w:tcBorders>
            <w:shd w:fill="0D7C3F" w:val="clear"/>
            <w:tcMar>
              <w:top w:type="dxa" w:w="80"/>
              <w:left w:type="dxa" w:w="120"/>
              <w:bottom w:type="dxa" w:w="80"/>
              <w:right w:type="dxa" w:w="120"/>
            </w:tcMar>
          </w:tcPr>
          <w:p>
            <w:r>
              <w:rPr>
                <w:rFonts w:ascii="Arial" w:cs="Arial" w:eastAsia="Arial" w:hAnsi="Arial"/>
                <w:b/>
                <w:bCs/>
                <w:color w:val="FFFFFF"/>
                <w:sz w:val="20"/>
                <w:szCs w:val="20"/>
              </w:rPr>
              <w:t xml:space="preserve">Canonical Step</w:t>
            </w:r>
          </w:p>
        </w:tc>
        <w:tc>
          <w:tcPr>
            <w:tcW w:type="dxa" w:w="1200"/>
            <w:tcBorders>
              <w:top w:val="single" w:color="B8C9D9" w:sz="1"/>
              <w:left w:val="single" w:color="B8C9D9" w:sz="1"/>
              <w:bottom w:val="single" w:color="B8C9D9" w:sz="1"/>
              <w:right w:val="single" w:color="B8C9D9" w:sz="1"/>
            </w:tcBorders>
            <w:shd w:fill="0D7C3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960"/>
            <w:tcBorders>
              <w:top w:val="single" w:color="B8C9D9" w:sz="1"/>
              <w:left w:val="single" w:color="B8C9D9" w:sz="1"/>
              <w:bottom w:val="single" w:color="B8C9D9" w:sz="1"/>
              <w:right w:val="single" w:color="B8C9D9" w:sz="1"/>
            </w:tcBorders>
            <w:shd w:fill="0D7C3F" w:val="clear"/>
            <w:tcMar>
              <w:top w:type="dxa" w:w="80"/>
              <w:left w:type="dxa" w:w="120"/>
              <w:bottom w:type="dxa" w:w="80"/>
              <w:right w:type="dxa" w:w="120"/>
            </w:tcMar>
          </w:tcPr>
          <w:p>
            <w:r>
              <w:rPr>
                <w:rFonts w:ascii="Arial" w:cs="Arial" w:eastAsia="Arial" w:hAnsi="Arial"/>
                <w:b/>
                <w:bCs/>
                <w:color w:val="FFFFFF"/>
                <w:sz w:val="20"/>
                <w:szCs w:val="20"/>
              </w:rPr>
              <w:t xml:space="preserve">Example Aliases &amp; Sub-Concepts</w:t>
            </w:r>
          </w:p>
        </w:tc>
      </w:tr>
      <w:tr>
        <w:tc>
          <w:tcPr>
            <w:tcW w:type="dxa" w:w="220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Budget Creation</w:t>
            </w:r>
          </w:p>
        </w:tc>
        <w:tc>
          <w:tcPr>
            <w:tcW w:type="dxa" w:w="120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FP&amp;A</w:t>
            </w:r>
          </w:p>
        </w:tc>
        <w:tc>
          <w:tcPr>
            <w:tcW w:type="dxa" w:w="596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Targets, target-setting, AOP, annual operating plan, annual plan, zero-based budgeting, bottom-up planning, top-down budgeting, budget cycle, budget templates, planning process</w:t>
            </w:r>
          </w:p>
        </w:tc>
      </w:tr>
      <w:tr>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Forecasting</w:t>
            </w:r>
          </w:p>
        </w:tc>
        <w:tc>
          <w:tcPr>
            <w:tcW w:type="dxa" w:w="1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FP&amp;A</w:t>
            </w:r>
          </w:p>
        </w:tc>
        <w:tc>
          <w:tcPr>
            <w:tcW w:type="dxa" w:w="59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Rolling estimates, rolling forecast, reforecast, demand planning, revenue projection, sales forecast, financial projection, outlook, guidance, forward-looking estimates</w:t>
            </w:r>
          </w:p>
        </w:tc>
      </w:tr>
      <w:tr>
        <w:tc>
          <w:tcPr>
            <w:tcW w:type="dxa" w:w="220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Variance Analysis</w:t>
            </w:r>
          </w:p>
        </w:tc>
        <w:tc>
          <w:tcPr>
            <w:tcW w:type="dxa" w:w="120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FP&amp;A</w:t>
            </w:r>
          </w:p>
        </w:tc>
        <w:tc>
          <w:tcPr>
            <w:tcW w:type="dxa" w:w="596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Actuals vs. budget, budget variance, performance analysis, deviation analysis, gap analysis, explain the miss, monthly close analysis, flash report</w:t>
            </w:r>
          </w:p>
        </w:tc>
      </w:tr>
      <w:tr>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Invoice Receipt &amp; Capture</w:t>
            </w:r>
          </w:p>
        </w:tc>
        <w:tc>
          <w:tcPr>
            <w:tcW w:type="dxa" w:w="1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AP</w:t>
            </w:r>
          </w:p>
        </w:tc>
        <w:tc>
          <w:tcPr>
            <w:tcW w:type="dxa" w:w="59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Invoice processing, invoice intake, invoice scanning, document capture, e-invoicing, invoice digitization, invoice ingestion, PO-backed invoices</w:t>
            </w:r>
          </w:p>
        </w:tc>
      </w:tr>
      <w:tr>
        <w:tc>
          <w:tcPr>
            <w:tcW w:type="dxa" w:w="220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3-Way Matching</w:t>
            </w:r>
          </w:p>
        </w:tc>
        <w:tc>
          <w:tcPr>
            <w:tcW w:type="dxa" w:w="120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AP</w:t>
            </w:r>
          </w:p>
        </w:tc>
        <w:tc>
          <w:tcPr>
            <w:tcW w:type="dxa" w:w="596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PO matching, purchase order matching, receipt matching, goods receipt verification, invoice matching, match exceptions, auto-matching</w:t>
            </w:r>
          </w:p>
        </w:tc>
      </w:tr>
      <w:tr>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Coding &amp; GL Allocation</w:t>
            </w:r>
          </w:p>
        </w:tc>
        <w:tc>
          <w:tcPr>
            <w:tcW w:type="dxa" w:w="1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AP</w:t>
            </w:r>
          </w:p>
        </w:tc>
        <w:tc>
          <w:tcPr>
            <w:tcW w:type="dxa" w:w="59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Account coding, GL coding, expense coding, cost allocation, chart of accounts mapping, auto-coding, invoice categorization, expense classification</w:t>
            </w:r>
          </w:p>
        </w:tc>
      </w:tr>
    </w:tbl>
    <w:p>
      <w:pPr>
        <w:spacing w:after="80"/>
      </w:pPr>
    </w:p>
    <w:p>
      <w:pPr>
        <w:spacing w:after="120" w:line="276"/>
      </w:pPr>
      <w:r>
        <w:rPr>
          <w:rFonts w:ascii="Arial" w:cs="Arial" w:eastAsia="Arial" w:hAnsi="Arial"/>
          <w:color w:val="2C3E50"/>
          <w:sz w:val="21"/>
          <w:szCs w:val="21"/>
        </w:rPr>
        <w:t xml:space="preserve">The alias layer is seeded with AI-generated suggestions at launch (targeting 30–50 aliases per step) and refined through curator review. Over time, the system tracks unresolved user queries and proposes new aliases for curator approval, creating a continuously improving concept graph.</w:t>
      </w:r>
    </w:p>
    <w:p>
      <w:pPr>
        <w:pStyle w:val="Heading2"/>
        <w:spacing w:before="280" w:after="160"/>
      </w:pPr>
      <w:r>
        <w:rPr>
          <w:rFonts w:ascii="Arial" w:cs="Arial" w:eastAsia="Arial" w:hAnsi="Arial"/>
          <w:b/>
          <w:bCs/>
          <w:color w:val="2E86AB"/>
          <w:sz w:val="26"/>
          <w:szCs w:val="26"/>
        </w:rPr>
        <w:t xml:space="preserve">5.3 Layer 3: AI Semantic Layer (The Intelligence)</w:t>
      </w:r>
    </w:p>
    <w:p>
      <w:pPr>
        <w:spacing w:after="120" w:line="276"/>
      </w:pPr>
      <w:r>
        <w:rPr>
          <w:rFonts w:ascii="Arial" w:cs="Arial" w:eastAsia="Arial" w:hAnsi="Arial"/>
          <w:color w:val="2C3E50"/>
          <w:sz w:val="21"/>
          <w:szCs w:val="21"/>
        </w:rPr>
        <w:t xml:space="preserve">For inputs that don’t match any alias directly, an AI-powered semantic mapper interprets the intent using embeddings or an LLM call. This handles novel phrasing, compound queries, and conversational inputs.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Input Example</w:t>
            </w:r>
          </w:p>
        </w:tc>
        <w:tc>
          <w:tcPr>
            <w:tcW w:type="dxa" w:w="286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AI Interpretation</w:t>
            </w:r>
          </w:p>
        </w:tc>
        <w:tc>
          <w:tcPr>
            <w:tcW w:type="dxa" w:w="30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Mapped Canonical Steps</w:t>
            </w:r>
          </w:p>
        </w:tc>
      </w:tr>
      <w:tr>
        <w:tc>
          <w:tcPr>
            <w:tcW w:type="dxa" w:w="35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How do we make sure our quarterly numbers aren’t wrong?</w:t>
            </w:r>
          </w:p>
        </w:tc>
        <w:tc>
          <w:tcPr>
            <w:tcW w:type="dxa" w:w="28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User is asking about financial accuracy checks</w:t>
            </w:r>
          </w:p>
        </w:tc>
        <w:tc>
          <w:tcPr>
            <w:tcW w:type="dxa" w:w="3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Variance Analysis + Management Reporting</w:t>
            </w:r>
          </w:p>
        </w:tc>
      </w:tr>
      <w:tr>
        <w:tc>
          <w:tcPr>
            <w:tcW w:type="dxa" w:w="35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We spend too much time on vendor emails</w:t>
            </w:r>
          </w:p>
        </w:tc>
        <w:tc>
          <w:tcPr>
            <w:tcW w:type="dxa" w:w="28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User is describing a pain point in AP vendor management</w:t>
            </w:r>
          </w:p>
        </w:tc>
        <w:tc>
          <w:tcPr>
            <w:tcW w:type="dxa" w:w="3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Vendor Communication + Exception Handling</w:t>
            </w:r>
          </w:p>
        </w:tc>
      </w:tr>
      <w:tr>
        <w:tc>
          <w:tcPr>
            <w:tcW w:type="dxa" w:w="35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Can AI help us with month-end?</w:t>
            </w:r>
          </w:p>
        </w:tc>
        <w:tc>
          <w:tcPr>
            <w:tcW w:type="dxa" w:w="28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Broad query about financial close processes</w:t>
            </w:r>
          </w:p>
        </w:tc>
        <w:tc>
          <w:tcPr>
            <w:tcW w:type="dxa" w:w="3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Variance Analysis + Management Reporting + Cash Flow Forecasting</w:t>
            </w:r>
          </w:p>
        </w:tc>
      </w:tr>
      <w:tr>
        <w:tc>
          <w:tcPr>
            <w:tcW w:type="dxa" w:w="35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What tools handle payment optimization?</w:t>
            </w:r>
          </w:p>
        </w:tc>
        <w:tc>
          <w:tcPr>
            <w:tcW w:type="dxa" w:w="28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Specific query about AP payment efficiency</w:t>
            </w:r>
          </w:p>
        </w:tc>
        <w:tc>
          <w:tcPr>
            <w:tcW w:type="dxa" w:w="3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Payment Scheduling &amp; Execution</w:t>
            </w:r>
          </w:p>
        </w:tc>
      </w:tr>
      <w:tr>
        <w:tc>
          <w:tcPr>
            <w:tcW w:type="dxa" w:w="35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We need better demand planning</w:t>
            </w:r>
          </w:p>
        </w:tc>
        <w:tc>
          <w:tcPr>
            <w:tcW w:type="dxa" w:w="28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FP&amp;A forecasting sub-domain</w:t>
            </w:r>
          </w:p>
        </w:tc>
        <w:tc>
          <w:tcPr>
            <w:tcW w:type="dxa" w:w="3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Forecasting + Revenue Modeling</w:t>
            </w:r>
          </w:p>
        </w:tc>
      </w:tr>
    </w:tbl>
    <w:p>
      <w:pPr>
        <w:pStyle w:val="Heading2"/>
        <w:spacing w:before="280" w:after="160"/>
      </w:pPr>
      <w:r>
        <w:rPr>
          <w:rFonts w:ascii="Arial" w:cs="Arial" w:eastAsia="Arial" w:hAnsi="Arial"/>
          <w:b/>
          <w:bCs/>
          <w:color w:val="2E86AB"/>
          <w:sz w:val="26"/>
          <w:szCs w:val="26"/>
        </w:rPr>
        <w:t xml:space="preserve">5.4 Confidence-Based UX</w:t>
      </w:r>
    </w:p>
    <w:p>
      <w:pPr>
        <w:spacing w:after="120" w:line="276"/>
      </w:pPr>
      <w:r>
        <w:rPr>
          <w:rFonts w:ascii="Arial" w:cs="Arial" w:eastAsia="Arial" w:hAnsi="Arial"/>
          <w:color w:val="2C3E50"/>
          <w:sz w:val="21"/>
          <w:szCs w:val="21"/>
        </w:rPr>
        <w:t xml:space="preserve">The mapping system uses confidence scoring to determine how to present results:</w:t>
      </w:r>
    </w:p>
    <w:p>
      <w:pPr>
        <w:spacing w:after="80"/>
      </w:pPr>
    </w:p>
    <w:p>
      <w:pPr>
        <w:pStyle w:val="ListParagraph"/>
        <w:numPr>
          <w:ilvl w:val="0"/>
          <w:numId w:val="2"/>
        </w:numPr>
        <w:spacing w:after="60" w:line="276"/>
      </w:pPr>
      <w:r>
        <w:rPr>
          <w:rFonts w:ascii="Arial" w:cs="Arial" w:eastAsia="Arial" w:hAnsi="Arial"/>
          <w:b/>
          <w:bCs/>
          <w:color w:val="2C3E50"/>
          <w:sz w:val="21"/>
          <w:szCs w:val="21"/>
        </w:rPr>
        <w:t xml:space="preserve">High confidence (&gt;85%): </w:t>
      </w:r>
      <w:r>
        <w:rPr>
          <w:rFonts w:ascii="Arial" w:cs="Arial" w:eastAsia="Arial" w:hAnsi="Arial"/>
          <w:color w:val="2C3E50"/>
          <w:sz w:val="21"/>
          <w:szCs w:val="21"/>
        </w:rPr>
        <w:t xml:space="preserve">Auto-map and show results immediately with a subtle label: ‘Mapped to: Forecasting.’ No friction for the user.</w:t>
      </w:r>
    </w:p>
    <w:p>
      <w:pPr>
        <w:pStyle w:val="ListParagraph"/>
        <w:numPr>
          <w:ilvl w:val="0"/>
          <w:numId w:val="2"/>
        </w:numPr>
        <w:spacing w:after="60" w:line="276"/>
      </w:pPr>
      <w:r>
        <w:rPr>
          <w:rFonts w:ascii="Arial" w:cs="Arial" w:eastAsia="Arial" w:hAnsi="Arial"/>
          <w:b/>
          <w:bCs/>
          <w:color w:val="2C3E50"/>
          <w:sz w:val="21"/>
          <w:szCs w:val="21"/>
        </w:rPr>
        <w:t xml:space="preserve">Medium confidence (60–85%): </w:t>
      </w:r>
      <w:r>
        <w:rPr>
          <w:rFonts w:ascii="Arial" w:cs="Arial" w:eastAsia="Arial" w:hAnsi="Arial"/>
          <w:color w:val="2C3E50"/>
          <w:sz w:val="21"/>
          <w:szCs w:val="21"/>
        </w:rPr>
        <w:t xml:space="preserve">Show top 2–3 candidate steps ranked by relevance: ‘Did you mean Budgeting, Forecasting, or both?’ User picks, then sees results.</w:t>
      </w:r>
    </w:p>
    <w:p>
      <w:pPr>
        <w:pStyle w:val="ListParagraph"/>
        <w:numPr>
          <w:ilvl w:val="0"/>
          <w:numId w:val="2"/>
        </w:numPr>
        <w:spacing w:after="60" w:line="276"/>
      </w:pPr>
      <w:r>
        <w:rPr>
          <w:rFonts w:ascii="Arial" w:cs="Arial" w:eastAsia="Arial" w:hAnsi="Arial"/>
          <w:b/>
          <w:bCs/>
          <w:color w:val="2C3E50"/>
          <w:sz w:val="21"/>
          <w:szCs w:val="21"/>
        </w:rPr>
        <w:t xml:space="preserve">Low confidence (&lt;60%): </w:t>
      </w:r>
      <w:r>
        <w:rPr>
          <w:rFonts w:ascii="Arial" w:cs="Arial" w:eastAsia="Arial" w:hAnsi="Arial"/>
          <w:color w:val="2C3E50"/>
          <w:sz w:val="21"/>
          <w:szCs w:val="21"/>
        </w:rPr>
        <w:t xml:space="preserve">Show a spectrum view: ‘Your query touches multiple process areas’ with all potentially related steps ranked. User explores freely.</w:t>
      </w:r>
    </w:p>
    <w:p>
      <w:pPr>
        <w:spacing w:after="80"/>
      </w:pPr>
    </w:p>
    <w:p>
      <w:pPr>
        <w:spacing w:after="120" w:line="276"/>
      </w:pPr>
      <w:r>
        <w:rPr>
          <w:rFonts w:ascii="Arial" w:cs="Arial" w:eastAsia="Arial" w:hAnsi="Arial"/>
          <w:color w:val="2C3E50"/>
          <w:sz w:val="21"/>
          <w:szCs w:val="21"/>
        </w:rPr>
        <w:t xml:space="preserve">This tiered approach means ~80% of queries feel instant (like a good search engine), while the remaining 20% feel guided rather than confused.</w:t>
      </w:r>
    </w:p>
    <w:p>
      <w:pPr>
        <w:pStyle w:val="Heading2"/>
        <w:spacing w:before="280" w:after="160"/>
      </w:pPr>
      <w:r>
        <w:rPr>
          <w:rFonts w:ascii="Arial" w:cs="Arial" w:eastAsia="Arial" w:hAnsi="Arial"/>
          <w:b/>
          <w:bCs/>
          <w:color w:val="2E86AB"/>
          <w:sz w:val="26"/>
          <w:szCs w:val="26"/>
        </w:rPr>
        <w:t xml:space="preserve">5.5 Learning Loop</w:t>
      </w:r>
    </w:p>
    <w:p>
      <w:pPr>
        <w:spacing w:after="120" w:line="276"/>
      </w:pPr>
      <w:r>
        <w:rPr>
          <w:rFonts w:ascii="Arial" w:cs="Arial" w:eastAsia="Arial" w:hAnsi="Arial"/>
          <w:color w:val="2C3E50"/>
          <w:sz w:val="21"/>
          <w:szCs w:val="21"/>
        </w:rPr>
        <w:t xml:space="preserve">The system improves over time through a lightweight learning loop:</w:t>
      </w:r>
    </w:p>
    <w:p>
      <w:pPr>
        <w:spacing w:after="80"/>
      </w:pPr>
    </w:p>
    <w:p>
      <w:pPr>
        <w:pStyle w:val="ListParagraph"/>
        <w:numPr>
          <w:ilvl w:val="0"/>
          <w:numId w:val="3"/>
        </w:numPr>
        <w:spacing w:after="60" w:line="276"/>
      </w:pPr>
      <w:r>
        <w:rPr>
          <w:rFonts w:ascii="Arial" w:cs="Arial" w:eastAsia="Arial" w:hAnsi="Arial"/>
          <w:b/>
          <w:bCs/>
          <w:color w:val="2C3E50"/>
          <w:sz w:val="21"/>
          <w:szCs w:val="21"/>
        </w:rPr>
        <w:t xml:space="preserve">Query logging: </w:t>
      </w:r>
      <w:r>
        <w:rPr>
          <w:rFonts w:ascii="Arial" w:cs="Arial" w:eastAsia="Arial" w:hAnsi="Arial"/>
          <w:color w:val="2C3E50"/>
          <w:sz w:val="21"/>
          <w:szCs w:val="21"/>
        </w:rPr>
        <w:t xml:space="preserve">Every user query is logged with the canonical step(s) it resolved to and the confidence level.</w:t>
      </w:r>
    </w:p>
    <w:p>
      <w:pPr>
        <w:pStyle w:val="ListParagraph"/>
        <w:numPr>
          <w:ilvl w:val="0"/>
          <w:numId w:val="3"/>
        </w:numPr>
        <w:spacing w:after="60" w:line="276"/>
      </w:pPr>
      <w:r>
        <w:rPr>
          <w:rFonts w:ascii="Arial" w:cs="Arial" w:eastAsia="Arial" w:hAnsi="Arial"/>
          <w:b/>
          <w:bCs/>
          <w:color w:val="2C3E50"/>
          <w:sz w:val="21"/>
          <w:szCs w:val="21"/>
        </w:rPr>
        <w:t xml:space="preserve">Unresolved query flagging: </w:t>
      </w:r>
      <w:r>
        <w:rPr>
          <w:rFonts w:ascii="Arial" w:cs="Arial" w:eastAsia="Arial" w:hAnsi="Arial"/>
          <w:color w:val="2C3E50"/>
          <w:sz w:val="21"/>
          <w:szCs w:val="21"/>
        </w:rPr>
        <w:t xml:space="preserve">Queries that fall below 60% confidence or where the user overrides the AI suggestion are flagged for curator review.</w:t>
      </w:r>
    </w:p>
    <w:p>
      <w:pPr>
        <w:pStyle w:val="ListParagraph"/>
        <w:numPr>
          <w:ilvl w:val="0"/>
          <w:numId w:val="3"/>
        </w:numPr>
        <w:spacing w:after="60" w:line="276"/>
      </w:pPr>
      <w:r>
        <w:rPr>
          <w:rFonts w:ascii="Arial" w:cs="Arial" w:eastAsia="Arial" w:hAnsi="Arial"/>
          <w:b/>
          <w:bCs/>
          <w:color w:val="2C3E50"/>
          <w:sz w:val="21"/>
          <w:szCs w:val="21"/>
        </w:rPr>
        <w:t xml:space="preserve">Alias proposal: </w:t>
      </w:r>
      <w:r>
        <w:rPr>
          <w:rFonts w:ascii="Arial" w:cs="Arial" w:eastAsia="Arial" w:hAnsi="Arial"/>
          <w:color w:val="2C3E50"/>
          <w:sz w:val="21"/>
          <w:szCs w:val="21"/>
        </w:rPr>
        <w:t xml:space="preserve">The system periodically analyzes unresolved queries and proposes new aliases: ‘Users searched for AOP 12 times — suggest adding it as an alias for Budget Creation?’ Curator approves or rejects.</w:t>
      </w:r>
    </w:p>
    <w:p>
      <w:pPr>
        <w:pStyle w:val="ListParagraph"/>
        <w:numPr>
          <w:ilvl w:val="0"/>
          <w:numId w:val="3"/>
        </w:numPr>
        <w:spacing w:after="60" w:line="276"/>
      </w:pPr>
      <w:r>
        <w:rPr>
          <w:rFonts w:ascii="Arial" w:cs="Arial" w:eastAsia="Arial" w:hAnsi="Arial"/>
          <w:b/>
          <w:bCs/>
          <w:color w:val="2C3E50"/>
          <w:sz w:val="21"/>
          <w:szCs w:val="21"/>
        </w:rPr>
        <w:t xml:space="preserve">Feedback integration: </w:t>
      </w:r>
      <w:r>
        <w:rPr>
          <w:rFonts w:ascii="Arial" w:cs="Arial" w:eastAsia="Arial" w:hAnsi="Arial"/>
          <w:color w:val="2C3E50"/>
          <w:sz w:val="21"/>
          <w:szCs w:val="21"/>
        </w:rPr>
        <w:t xml:space="preserve">When a user selects a different step than the AI suggested, that signal is stored and used to improve future mapping accuracy.</w:t>
      </w:r>
    </w:p>
    <w:p>
      <w:r>
        <w:br w:type="page"/>
      </w:r>
    </w:p>
    <w:p>
      <w:pPr>
        <w:pStyle w:val="Heading1"/>
        <w:spacing w:before="360" w:after="200"/>
      </w:pPr>
      <w:r>
        <w:rPr>
          <w:rFonts w:ascii="Arial" w:cs="Arial" w:eastAsia="Arial" w:hAnsi="Arial"/>
          <w:b/>
          <w:bCs/>
          <w:color w:val="1B3A5C"/>
          <w:sz w:val="32"/>
          <w:szCs w:val="32"/>
        </w:rPr>
        <w:t xml:space="preserve">6. Process Flow Maps (Core Differentiator)</w:t>
      </w:r>
    </w:p>
    <w:p>
      <w:pPr>
        <w:spacing w:after="120" w:line="276"/>
      </w:pPr>
      <w:r>
        <w:rPr>
          <w:rFonts w:ascii="Arial" w:cs="Arial" w:eastAsia="Arial" w:hAnsi="Arial"/>
          <w:color w:val="2C3E50"/>
          <w:sz w:val="21"/>
          <w:szCs w:val="21"/>
        </w:rPr>
        <w:t xml:space="preserve">The platform’s key differentiator is mapping each finance function to a detailed sub-process flow, then overlaying AI opportunities at every step. This enables consultants to have process-specific conversations with clients rather than generic tool recommendations.</w:t>
      </w:r>
    </w:p>
    <w:p>
      <w:pPr>
        <w:pStyle w:val="Heading2"/>
        <w:spacing w:before="280" w:after="160"/>
      </w:pPr>
      <w:r>
        <w:rPr>
          <w:rFonts w:ascii="Arial" w:cs="Arial" w:eastAsia="Arial" w:hAnsi="Arial"/>
          <w:b/>
          <w:bCs/>
          <w:color w:val="2E86AB"/>
          <w:sz w:val="26"/>
          <w:szCs w:val="26"/>
        </w:rPr>
        <w:t xml:space="preserve">6.1 Accounts Payable — Process Flow</w:t>
      </w:r>
    </w:p>
    <w:p>
      <w:pPr>
        <w:spacing w:after="120" w:line="276"/>
      </w:pPr>
      <w:r>
        <w:rPr>
          <w:rFonts w:ascii="Arial" w:cs="Arial" w:eastAsia="Arial" w:hAnsi="Arial"/>
          <w:color w:val="2C3E50"/>
          <w:sz w:val="21"/>
          <w:szCs w:val="21"/>
        </w:rPr>
        <w:t xml:space="preserve">The AP process is mapped across 10 sub-steps. Each step shows the traditional (manual) approach and the AI-enabled alternative.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60"/>
        <w:gridCol w:w="2400"/>
        <w:gridCol w:w="2400"/>
        <w:gridCol w:w="2400"/>
      </w:tblGrid>
      <w:tr>
        <w:tc>
          <w:tcPr>
            <w:tcW w:type="dxa" w:w="400"/>
            <w:tcBorders>
              <w:top w:val="single" w:color="B8C9D9" w:sz="1"/>
              <w:left w:val="single" w:color="B8C9D9" w:sz="1"/>
              <w:bottom w:val="single" w:color="B8C9D9" w:sz="1"/>
              <w:right w:val="single" w:color="B8C9D9"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760"/>
            <w:tcBorders>
              <w:top w:val="single" w:color="B8C9D9" w:sz="1"/>
              <w:left w:val="single" w:color="B8C9D9" w:sz="1"/>
              <w:bottom w:val="single" w:color="B8C9D9" w:sz="1"/>
              <w:right w:val="single" w:color="B8C9D9"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Process Step</w:t>
            </w:r>
          </w:p>
        </w:tc>
        <w:tc>
          <w:tcPr>
            <w:tcW w:type="dxa" w:w="2400"/>
            <w:tcBorders>
              <w:top w:val="single" w:color="B8C9D9" w:sz="1"/>
              <w:left w:val="single" w:color="B8C9D9" w:sz="1"/>
              <w:bottom w:val="single" w:color="B8C9D9" w:sz="1"/>
              <w:right w:val="single" w:color="B8C9D9"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Traditional Approach</w:t>
            </w:r>
          </w:p>
        </w:tc>
        <w:tc>
          <w:tcPr>
            <w:tcW w:type="dxa" w:w="2400"/>
            <w:tcBorders>
              <w:top w:val="single" w:color="B8C9D9" w:sz="1"/>
              <w:left w:val="single" w:color="B8C9D9" w:sz="1"/>
              <w:bottom w:val="single" w:color="B8C9D9" w:sz="1"/>
              <w:right w:val="single" w:color="B8C9D9"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AI-Enabled Approach</w:t>
            </w:r>
          </w:p>
        </w:tc>
        <w:tc>
          <w:tcPr>
            <w:tcW w:type="dxa" w:w="2400"/>
            <w:tcBorders>
              <w:top w:val="single" w:color="B8C9D9" w:sz="1"/>
              <w:left w:val="single" w:color="B8C9D9" w:sz="1"/>
              <w:bottom w:val="single" w:color="B8C9D9" w:sz="1"/>
              <w:right w:val="single" w:color="B8C9D9"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76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b/>
                <w:bCs/>
                <w:color w:val="2C3E50"/>
                <w:sz w:val="20"/>
                <w:szCs w:val="20"/>
              </w:rPr>
              <w:t xml:space="preserve">Invoice Receipt &amp; Capture</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Manual data entry from paper/PDF invoices; email forwarding to AP team</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AI-powered OCR + intelligent document extraction; auto-routing from email/portal</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90% reduction in manual entry time; 99%+ extraction accuracy</w:t>
            </w:r>
          </w:p>
        </w:tc>
      </w:tr>
      <w:tr>
        <w:tc>
          <w:tcPr>
            <w:tcW w:type="dxa" w:w="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2</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Invoice Data Validation</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Manual check against PO and vendor master; flagging discrepancies by hand</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ML-based auto-validation against PO, contract terms, and historical patterns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80% of invoices validated without human touch; exceptions flagged instantly</w:t>
            </w:r>
          </w:p>
        </w:tc>
      </w:tr>
      <w:tr>
        <w:tc>
          <w:tcPr>
            <w:tcW w:type="dxa" w:w="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76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b/>
                <w:bCs/>
                <w:color w:val="2C3E50"/>
                <w:sz w:val="20"/>
                <w:szCs w:val="20"/>
              </w:rPr>
              <w:t xml:space="preserve">3-Way Matching (PO → Receipt → Invoice)</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Spreadsheet-based matching; manual cross-referencing across systems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Automated fuzzy matching with confidence scoring; AI resolves near-matches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95% auto-match rate; 70% reduction in matching cycle time</w:t>
            </w:r>
          </w:p>
        </w:tc>
      </w:tr>
      <w:tr>
        <w:tc>
          <w:tcPr>
            <w:tcW w:type="dxa" w:w="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4</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Exception Handling</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Manual investigation; email chains with requestors and vendors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AI suggests resolution based on historical patterns; auto-generates vendor queries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60% of exceptions auto-resolved; average resolution time drops from days to hours</w:t>
            </w:r>
          </w:p>
        </w:tc>
      </w:tr>
      <w:tr>
        <w:tc>
          <w:tcPr>
            <w:tcW w:type="dxa" w:w="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76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b/>
                <w:bCs/>
                <w:color w:val="2C3E50"/>
                <w:sz w:val="20"/>
                <w:szCs w:val="20"/>
              </w:rPr>
              <w:t xml:space="preserve">Approval Routing</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Static approval hierarchies; manual forwarding; bottlenecks from unavailable approvers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Dynamic routing based on ML-predicted risk; auto-escalation; mobile approval</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50% faster approval cycles; intelligent delegation eliminates bottlenecks</w:t>
            </w:r>
          </w:p>
        </w:tc>
      </w:tr>
      <w:tr>
        <w:tc>
          <w:tcPr>
            <w:tcW w:type="dxa" w:w="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6</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Coding &amp; GL Allocation</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Manual GL code assignment; frequent miscoding; month-end corrections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AI auto-codes based on vendor, description, and historical patterns; confidence flagging</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85% auto-coding accuracy; 70% reduction in month-end corrections</w:t>
            </w:r>
          </w:p>
        </w:tc>
      </w:tr>
      <w:tr>
        <w:tc>
          <w:tcPr>
            <w:tcW w:type="dxa" w:w="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176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b/>
                <w:bCs/>
                <w:color w:val="2C3E50"/>
                <w:sz w:val="20"/>
                <w:szCs w:val="20"/>
              </w:rPr>
              <w:t xml:space="preserve">Fraud &amp; Duplicate Detection</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Periodic audits; manual review of suspicious invoices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Real-time ML-based anomaly detection; duplicate flagging before payment</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Continuous monitoring vs. periodic; catches fraud before payment release</w:t>
            </w:r>
          </w:p>
        </w:tc>
      </w:tr>
      <w:tr>
        <w:tc>
          <w:tcPr>
            <w:tcW w:type="dxa" w:w="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8</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Payment Scheduling &amp; Execution</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Manual payment batch creation; static payment terms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AI-optimized payment timing based on cash flow, early-pay discounts, and vendor priority</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2–4% working capital improvement through optimized payment timing</w:t>
            </w:r>
          </w:p>
        </w:tc>
      </w:tr>
      <w:tr>
        <w:tc>
          <w:tcPr>
            <w:tcW w:type="dxa" w:w="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176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b/>
                <w:bCs/>
                <w:color w:val="2C3E50"/>
                <w:sz w:val="20"/>
                <w:szCs w:val="20"/>
              </w:rPr>
              <w:t xml:space="preserve">Vendor Communication</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Manual email responses to vendor inquiries about payment status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AI chatbot/portal for vendor self-service; auto-generated status updates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80% reduction in vendor inquiry handling time</w:t>
            </w:r>
          </w:p>
        </w:tc>
      </w:tr>
      <w:tr>
        <w:tc>
          <w:tcPr>
            <w:tcW w:type="dxa" w:w="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Reporting &amp; Analytics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Manual report generation; backward-looking metrics only</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AI-generated insights; predictive analytics (cash flow forecasting, vendor risk scoring)</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Shift from reactive reporting to predictive decision support</w:t>
            </w:r>
          </w:p>
        </w:tc>
      </w:tr>
    </w:tbl>
    <w:p>
      <w:r>
        <w:br w:type="page"/>
      </w:r>
    </w:p>
    <w:p>
      <w:pPr>
        <w:pStyle w:val="Heading2"/>
        <w:spacing w:before="280" w:after="160"/>
      </w:pPr>
      <w:r>
        <w:rPr>
          <w:rFonts w:ascii="Arial" w:cs="Arial" w:eastAsia="Arial" w:hAnsi="Arial"/>
          <w:b/>
          <w:bCs/>
          <w:color w:val="2E86AB"/>
          <w:sz w:val="26"/>
          <w:szCs w:val="26"/>
        </w:rPr>
        <w:t xml:space="preserve">6.2 FP&amp;A — Process Flow</w:t>
      </w:r>
    </w:p>
    <w:p>
      <w:pPr>
        <w:spacing w:after="120" w:line="276"/>
      </w:pPr>
      <w:r>
        <w:rPr>
          <w:rFonts w:ascii="Arial" w:cs="Arial" w:eastAsia="Arial" w:hAnsi="Arial"/>
          <w:color w:val="2C3E50"/>
          <w:sz w:val="21"/>
          <w:szCs w:val="21"/>
        </w:rPr>
        <w:t xml:space="preserve">The FP&amp;A process is mapped across 10 sub-steps covering the full planning-to-insight 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60"/>
        <w:gridCol w:w="2400"/>
        <w:gridCol w:w="2400"/>
        <w:gridCol w:w="2400"/>
      </w:tblGrid>
      <w:tr>
        <w:tc>
          <w:tcPr>
            <w:tcW w:type="dxa" w:w="400"/>
            <w:tcBorders>
              <w:top w:val="single" w:color="B8C9D9" w:sz="1"/>
              <w:left w:val="single" w:color="B8C9D9" w:sz="1"/>
              <w:bottom w:val="single" w:color="B8C9D9" w:sz="1"/>
              <w:right w:val="single" w:color="B8C9D9"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760"/>
            <w:tcBorders>
              <w:top w:val="single" w:color="B8C9D9" w:sz="1"/>
              <w:left w:val="single" w:color="B8C9D9" w:sz="1"/>
              <w:bottom w:val="single" w:color="B8C9D9" w:sz="1"/>
              <w:right w:val="single" w:color="B8C9D9"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Process Step</w:t>
            </w:r>
          </w:p>
        </w:tc>
        <w:tc>
          <w:tcPr>
            <w:tcW w:type="dxa" w:w="2400"/>
            <w:tcBorders>
              <w:top w:val="single" w:color="B8C9D9" w:sz="1"/>
              <w:left w:val="single" w:color="B8C9D9" w:sz="1"/>
              <w:bottom w:val="single" w:color="B8C9D9" w:sz="1"/>
              <w:right w:val="single" w:color="B8C9D9"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Traditional Approach</w:t>
            </w:r>
          </w:p>
        </w:tc>
        <w:tc>
          <w:tcPr>
            <w:tcW w:type="dxa" w:w="2400"/>
            <w:tcBorders>
              <w:top w:val="single" w:color="B8C9D9" w:sz="1"/>
              <w:left w:val="single" w:color="B8C9D9" w:sz="1"/>
              <w:bottom w:val="single" w:color="B8C9D9" w:sz="1"/>
              <w:right w:val="single" w:color="B8C9D9"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AI-Enabled Approach</w:t>
            </w:r>
          </w:p>
        </w:tc>
        <w:tc>
          <w:tcPr>
            <w:tcW w:type="dxa" w:w="2400"/>
            <w:tcBorders>
              <w:top w:val="single" w:color="B8C9D9" w:sz="1"/>
              <w:left w:val="single" w:color="B8C9D9" w:sz="1"/>
              <w:bottom w:val="single" w:color="B8C9D9" w:sz="1"/>
              <w:right w:val="single" w:color="B8C9D9"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76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b/>
                <w:bCs/>
                <w:color w:val="2C3E50"/>
                <w:sz w:val="20"/>
                <w:szCs w:val="20"/>
              </w:rPr>
              <w:t xml:space="preserve">Data Collection &amp; Consolidation</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Manual extraction from ERP, CRM, HRIS; spreadsheet consolidation across BUs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Automated data pipelines with AI-powered data cleaning and reconciliation</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80% reduction in data prep time; single source of truth established automatically</w:t>
            </w:r>
          </w:p>
        </w:tc>
      </w:tr>
      <w:tr>
        <w:tc>
          <w:tcPr>
            <w:tcW w:type="dxa" w:w="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2</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Budget Creation</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Top-down or bottom-up spreadsheet templates; version control via email</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AI-generated budget drafts based on historical trends, seasonality, and business drivers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60% faster first-draft budgets; driver-based models replace line-by-line entry</w:t>
            </w:r>
          </w:p>
        </w:tc>
      </w:tr>
      <w:tr>
        <w:tc>
          <w:tcPr>
            <w:tcW w:type="dxa" w:w="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76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b/>
                <w:bCs/>
                <w:color w:val="2C3E50"/>
                <w:sz w:val="20"/>
                <w:szCs w:val="20"/>
              </w:rPr>
              <w:t xml:space="preserve">Forecasting</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Manual reforecasting in Excel; limited scenarios; monthly or quarterly cadence</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ML-powered rolling forecasts with continuous signal detection; unlimited scenario modeling</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Forecasting goes from quarterly to continuous; accuracy improves 20–40%</w:t>
            </w:r>
          </w:p>
        </w:tc>
      </w:tr>
      <w:tr>
        <w:tc>
          <w:tcPr>
            <w:tcW w:type="dxa" w:w="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4</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Scenario Planning &amp; Modeling</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3–5 static scenarios in Excel; manual sensitivity analysis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AI-generated scenarios based on macro and micro signals; Monte Carlo simulations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From 3 static scenarios to hundreds; probabilistic outcomes replace single-point estimates</w:t>
            </w:r>
          </w:p>
        </w:tc>
      </w:tr>
      <w:tr>
        <w:tc>
          <w:tcPr>
            <w:tcW w:type="dxa" w:w="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76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b/>
                <w:bCs/>
                <w:color w:val="2C3E50"/>
                <w:sz w:val="20"/>
                <w:szCs w:val="20"/>
              </w:rPr>
              <w:t xml:space="preserve">Variance Analysis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Manual comparison of actuals vs. budget; narrative written by analysts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AI auto-detects material variances, identifies root causes, and drafts narrative explanations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Variance analysis cycle drops from 2 days to 2 hours; auto-generated narratives</w:t>
            </w:r>
          </w:p>
        </w:tc>
      </w:tr>
      <w:tr>
        <w:tc>
          <w:tcPr>
            <w:tcW w:type="dxa" w:w="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6</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Management Reporting</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Manual slide and report creation; copy-paste from Excel to PowerPoint</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AI-generated dashboards with natural language summaries; auto-updating board decks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Report production time drops 70%; dynamic vs. static reporting</w:t>
            </w:r>
          </w:p>
        </w:tc>
      </w:tr>
      <w:tr>
        <w:tc>
          <w:tcPr>
            <w:tcW w:type="dxa" w:w="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176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b/>
                <w:bCs/>
                <w:color w:val="2C3E50"/>
                <w:sz w:val="20"/>
                <w:szCs w:val="20"/>
              </w:rPr>
              <w:t xml:space="preserve">Revenue Modeling</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Spreadsheet-based pipeline and revenue models; manual assumptions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ML models incorporating pipeline data, conversion rates, market signals, and churn prediction</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Revenue forecast accuracy improves 15–25%; leading indicators replace lagging ones</w:t>
            </w:r>
          </w:p>
        </w:tc>
      </w:tr>
      <w:tr>
        <w:tc>
          <w:tcPr>
            <w:tcW w:type="dxa" w:w="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8</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Workforce Planning</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Headcount planning in spreadsheets; disconnected from financial models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AI-linked headcount-to-revenue models; attrition prediction; skill-gap analysis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Workforce costs dynamically linked to revenue scenarios; proactive hiring signals</w:t>
            </w:r>
          </w:p>
        </w:tc>
      </w:tr>
      <w:tr>
        <w:tc>
          <w:tcPr>
            <w:tcW w:type="dxa" w:w="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176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b/>
                <w:bCs/>
                <w:color w:val="2C3E50"/>
                <w:sz w:val="20"/>
                <w:szCs w:val="20"/>
              </w:rPr>
              <w:t xml:space="preserve">Cash Flow Forecasting</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Manual cash flow models; limited visibility beyond 30–60 days</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AI-powered 13-week and long-range cash forecasting with real-time bank data</w:t>
            </w:r>
          </w:p>
        </w:tc>
        <w:tc>
          <w:tcPr>
            <w:tcW w:type="dxa" w:w="2400"/>
            <w:tcBorders>
              <w:top w:val="single" w:color="B8C9D9" w:sz="1"/>
              <w:left w:val="single" w:color="B8C9D9" w:sz="1"/>
              <w:bottom w:val="single" w:color="B8C9D9" w:sz="1"/>
              <w:right w:val="single" w:color="B8C9D9" w:sz="1"/>
            </w:tcBorders>
            <w:shd w:fill="FFF8E1" w:val="clear"/>
            <w:tcMar>
              <w:top w:type="dxa" w:w="80"/>
              <w:left w:type="dxa" w:w="120"/>
              <w:bottom w:type="dxa" w:w="80"/>
              <w:right w:type="dxa" w:w="120"/>
            </w:tcMar>
          </w:tcPr>
          <w:p>
            <w:r>
              <w:rPr>
                <w:rFonts w:ascii="Arial" w:cs="Arial" w:eastAsia="Arial" w:hAnsi="Arial"/>
                <w:color w:val="2C3E50"/>
                <w:sz w:val="20"/>
                <w:szCs w:val="20"/>
              </w:rPr>
              <w:t xml:space="preserve">Cash visibility extends to 90+ days; daily precision replaces monthly estimates</w:t>
            </w:r>
          </w:p>
        </w:tc>
      </w:tr>
      <w:tr>
        <w:tc>
          <w:tcPr>
            <w:tcW w:type="dxa" w:w="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Strategic Decision Support</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Ad-hoc analysis requests; analyst time consumed by data gathering</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AI copilot for ad-hoc questions; natural language querying of financial data</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Analysts shift from data gathering (80% of time) to strategic analysis</w:t>
            </w:r>
          </w:p>
        </w:tc>
      </w:tr>
    </w:tbl>
    <w:p>
      <w:r>
        <w:br w:type="page"/>
      </w:r>
    </w:p>
    <w:p>
      <w:pPr>
        <w:pStyle w:val="Heading1"/>
        <w:spacing w:before="360" w:after="200"/>
      </w:pPr>
      <w:r>
        <w:rPr>
          <w:rFonts w:ascii="Arial" w:cs="Arial" w:eastAsia="Arial" w:hAnsi="Arial"/>
          <w:b/>
          <w:bCs/>
          <w:color w:val="1B3A5C"/>
          <w:sz w:val="32"/>
          <w:szCs w:val="32"/>
        </w:rPr>
        <w:t xml:space="preserve">7. User Stories</w:t>
      </w:r>
    </w:p>
    <w:p>
      <w:pPr>
        <w:pStyle w:val="Heading2"/>
        <w:spacing w:before="280" w:after="160"/>
      </w:pPr>
      <w:r>
        <w:rPr>
          <w:rFonts w:ascii="Arial" w:cs="Arial" w:eastAsia="Arial" w:hAnsi="Arial"/>
          <w:b/>
          <w:bCs/>
          <w:color w:val="2E86AB"/>
          <w:sz w:val="26"/>
          <w:szCs w:val="26"/>
        </w:rPr>
        <w:t xml:space="preserve">7.1 Consultant — AI Transformation Planning</w:t>
      </w:r>
    </w:p>
    <w:p>
      <w:pPr>
        <w:spacing w:after="80"/>
      </w:pPr>
    </w:p>
    <w:p>
      <w:pPr>
        <w:pStyle w:val="ListParagraph"/>
        <w:numPr>
          <w:ilvl w:val="0"/>
          <w:numId w:val="4"/>
        </w:numPr>
        <w:spacing w:after="60" w:line="276"/>
      </w:pPr>
      <w:r>
        <w:rPr>
          <w:rFonts w:ascii="Arial" w:cs="Arial" w:eastAsia="Arial" w:hAnsi="Arial"/>
          <w:b/>
          <w:bCs/>
          <w:color w:val="2C3E50"/>
          <w:sz w:val="21"/>
          <w:szCs w:val="21"/>
        </w:rPr>
        <w:t xml:space="preserve">Process Walkthrough: </w:t>
      </w:r>
      <w:r>
        <w:rPr>
          <w:rFonts w:ascii="Arial" w:cs="Arial" w:eastAsia="Arial" w:hAnsi="Arial"/>
          <w:color w:val="2C3E50"/>
          <w:sz w:val="21"/>
          <w:szCs w:val="21"/>
        </w:rPr>
        <w:t xml:space="preserve">"As a consultant, I want to pull up the full AP process flow (10 steps) with AI opportunities at each step, so that I can walk a CFO through exactly where AI will improve their workflow."</w:t>
      </w:r>
    </w:p>
    <w:p>
      <w:pPr>
        <w:pStyle w:val="ListParagraph"/>
        <w:numPr>
          <w:ilvl w:val="0"/>
          <w:numId w:val="4"/>
        </w:numPr>
        <w:spacing w:after="60" w:line="276"/>
      </w:pPr>
      <w:r>
        <w:rPr>
          <w:rFonts w:ascii="Arial" w:cs="Arial" w:eastAsia="Arial" w:hAnsi="Arial"/>
          <w:b/>
          <w:bCs/>
          <w:color w:val="2C3E50"/>
          <w:sz w:val="21"/>
          <w:szCs w:val="21"/>
        </w:rPr>
        <w:t xml:space="preserve">AI Maturity Assessment: </w:t>
      </w:r>
      <w:r>
        <w:rPr>
          <w:rFonts w:ascii="Arial" w:cs="Arial" w:eastAsia="Arial" w:hAnsi="Arial"/>
          <w:color w:val="2C3E50"/>
          <w:sz w:val="21"/>
          <w:szCs w:val="21"/>
        </w:rPr>
        <w:t xml:space="preserve">"As a consultant, I want to see each tool’s AI maturity level (None / Basic Automation / ML-Powered / GenAI-Native) and its specific AI features mapped to process steps, so that I can recommend the right tool for a client’s AI readiness."</w:t>
      </w:r>
    </w:p>
    <w:p>
      <w:pPr>
        <w:pStyle w:val="ListParagraph"/>
        <w:numPr>
          <w:ilvl w:val="0"/>
          <w:numId w:val="4"/>
        </w:numPr>
        <w:spacing w:after="60" w:line="276"/>
      </w:pPr>
      <w:r>
        <w:rPr>
          <w:rFonts w:ascii="Arial" w:cs="Arial" w:eastAsia="Arial" w:hAnsi="Arial"/>
          <w:b/>
          <w:bCs/>
          <w:color w:val="2C3E50"/>
          <w:sz w:val="21"/>
          <w:szCs w:val="21"/>
        </w:rPr>
        <w:t xml:space="preserve">Before/After Impact: </w:t>
      </w:r>
      <w:r>
        <w:rPr>
          <w:rFonts w:ascii="Arial" w:cs="Arial" w:eastAsia="Arial" w:hAnsi="Arial"/>
          <w:color w:val="2C3E50"/>
          <w:sz w:val="21"/>
          <w:szCs w:val="21"/>
        </w:rPr>
        <w:t xml:space="preserve">"As a consultant, I want to show clients a before-and-after comparison for each process step—time savings, error reduction, FTE impact—so that I can build a quantified business case for AI transformation."</w:t>
      </w:r>
    </w:p>
    <w:p>
      <w:pPr>
        <w:pStyle w:val="ListParagraph"/>
        <w:numPr>
          <w:ilvl w:val="0"/>
          <w:numId w:val="4"/>
        </w:numPr>
        <w:spacing w:after="60" w:line="276"/>
      </w:pPr>
      <w:r>
        <w:rPr>
          <w:rFonts w:ascii="Arial" w:cs="Arial" w:eastAsia="Arial" w:hAnsi="Arial"/>
          <w:b/>
          <w:bCs/>
          <w:color w:val="2C3E50"/>
          <w:sz w:val="21"/>
          <w:szCs w:val="21"/>
        </w:rPr>
        <w:t xml:space="preserve">Tool Deep-Dive with Pricing: </w:t>
      </w:r>
      <w:r>
        <w:rPr>
          <w:rFonts w:ascii="Arial" w:cs="Arial" w:eastAsia="Arial" w:hAnsi="Arial"/>
          <w:color w:val="2C3E50"/>
          <w:sz w:val="21"/>
          <w:szCs w:val="21"/>
        </w:rPr>
        <w:t xml:space="preserve">"As a consultant, I want to view a structured tool profile including AI capabilities, pricing structure, reviews, and integrations so that I can provide complete recommendations."</w:t>
      </w:r>
    </w:p>
    <w:p>
      <w:pPr>
        <w:pStyle w:val="ListParagraph"/>
        <w:numPr>
          <w:ilvl w:val="0"/>
          <w:numId w:val="4"/>
        </w:numPr>
        <w:spacing w:after="60" w:line="276"/>
      </w:pPr>
      <w:r>
        <w:rPr>
          <w:rFonts w:ascii="Arial" w:cs="Arial" w:eastAsia="Arial" w:hAnsi="Arial"/>
          <w:b/>
          <w:bCs/>
          <w:color w:val="2C3E50"/>
          <w:sz w:val="21"/>
          <w:szCs w:val="21"/>
        </w:rPr>
        <w:t xml:space="preserve">Side-by-Side Comparison: </w:t>
      </w:r>
      <w:r>
        <w:rPr>
          <w:rFonts w:ascii="Arial" w:cs="Arial" w:eastAsia="Arial" w:hAnsi="Arial"/>
          <w:color w:val="2C3E50"/>
          <w:sz w:val="21"/>
          <w:szCs w:val="21"/>
        </w:rPr>
        <w:t xml:space="preserve">"As a consultant, I want to compare 2–4 tools on AI features, pricing, process coverage, and reviews so that I can present clear trade-offs."</w:t>
      </w:r>
    </w:p>
    <w:p>
      <w:pPr>
        <w:pStyle w:val="ListParagraph"/>
        <w:numPr>
          <w:ilvl w:val="0"/>
          <w:numId w:val="4"/>
        </w:numPr>
        <w:spacing w:after="60" w:line="276"/>
      </w:pPr>
      <w:r>
        <w:rPr>
          <w:rFonts w:ascii="Arial" w:cs="Arial" w:eastAsia="Arial" w:hAnsi="Arial"/>
          <w:b/>
          <w:bCs/>
          <w:color w:val="2C3E50"/>
          <w:sz w:val="21"/>
          <w:szCs w:val="21"/>
        </w:rPr>
        <w:t xml:space="preserve">Integration Mapping: </w:t>
      </w:r>
      <w:r>
        <w:rPr>
          <w:rFonts w:ascii="Arial" w:cs="Arial" w:eastAsia="Arial" w:hAnsi="Arial"/>
          <w:color w:val="2C3E50"/>
          <w:sz w:val="21"/>
          <w:szCs w:val="21"/>
        </w:rPr>
        <w:t xml:space="preserve">"As a consultant, I want to see what systems each tool integrates with so that I can assess fit within a client’s existing ERP and tech stack."</w:t>
      </w:r>
    </w:p>
    <w:p>
      <w:pPr>
        <w:pStyle w:val="ListParagraph"/>
        <w:numPr>
          <w:ilvl w:val="0"/>
          <w:numId w:val="4"/>
        </w:numPr>
        <w:spacing w:after="60" w:line="276"/>
      </w:pPr>
      <w:r>
        <w:rPr>
          <w:rFonts w:ascii="Arial" w:cs="Arial" w:eastAsia="Arial" w:hAnsi="Arial"/>
          <w:b/>
          <w:bCs/>
          <w:color w:val="2C3E50"/>
          <w:sz w:val="21"/>
          <w:szCs w:val="21"/>
        </w:rPr>
        <w:t xml:space="preserve">Natural Language Query: </w:t>
      </w:r>
      <w:r>
        <w:rPr>
          <w:rFonts w:ascii="Arial" w:cs="Arial" w:eastAsia="Arial" w:hAnsi="Arial"/>
          <w:color w:val="2C3E50"/>
          <w:sz w:val="21"/>
          <w:szCs w:val="21"/>
        </w:rPr>
        <w:t xml:space="preserve">"As a consultant, I want to type any finance term — whether it’s ‘AOP,’ ‘payment automation,’ or ‘how do we fix our month-end?’ — and have the platform automatically map it to the right process steps and tools, so that I don’t need to learn the platform’s taxonomy."</w:t>
      </w:r>
    </w:p>
    <w:p>
      <w:pPr>
        <w:pStyle w:val="Heading2"/>
        <w:spacing w:before="280" w:after="160"/>
      </w:pPr>
      <w:r>
        <w:rPr>
          <w:rFonts w:ascii="Arial" w:cs="Arial" w:eastAsia="Arial" w:hAnsi="Arial"/>
          <w:b/>
          <w:bCs/>
          <w:color w:val="2E86AB"/>
          <w:sz w:val="26"/>
          <w:szCs w:val="26"/>
        </w:rPr>
        <w:t xml:space="preserve">7.2 Client (via Consultant)</w:t>
      </w:r>
    </w:p>
    <w:p>
      <w:pPr>
        <w:spacing w:after="80"/>
      </w:pPr>
    </w:p>
    <w:p>
      <w:pPr>
        <w:pStyle w:val="ListParagraph"/>
        <w:numPr>
          <w:ilvl w:val="0"/>
          <w:numId w:val="5"/>
        </w:numPr>
        <w:spacing w:after="60" w:line="276"/>
      </w:pPr>
      <w:r>
        <w:rPr>
          <w:rFonts w:ascii="Arial" w:cs="Arial" w:eastAsia="Arial" w:hAnsi="Arial"/>
          <w:b/>
          <w:bCs/>
          <w:color w:val="2C3E50"/>
          <w:sz w:val="21"/>
          <w:szCs w:val="21"/>
        </w:rPr>
        <w:t xml:space="preserve">Shared Process View: </w:t>
      </w:r>
      <w:r>
        <w:rPr>
          <w:rFonts w:ascii="Arial" w:cs="Arial" w:eastAsia="Arial" w:hAnsi="Arial"/>
          <w:color w:val="2C3E50"/>
          <w:sz w:val="21"/>
          <w:szCs w:val="21"/>
        </w:rPr>
        <w:t xml:space="preserve">"As a client, I want to see my finance process mapped out with AI opportunity scores at each step, so that I can understand the transformation roadmap."</w:t>
      </w:r>
    </w:p>
    <w:p>
      <w:pPr>
        <w:pStyle w:val="ListParagraph"/>
        <w:numPr>
          <w:ilvl w:val="0"/>
          <w:numId w:val="5"/>
        </w:numPr>
        <w:spacing w:after="60" w:line="276"/>
      </w:pPr>
      <w:r>
        <w:rPr>
          <w:rFonts w:ascii="Arial" w:cs="Arial" w:eastAsia="Arial" w:hAnsi="Arial"/>
          <w:b/>
          <w:bCs/>
          <w:color w:val="2C3E50"/>
          <w:sz w:val="21"/>
          <w:szCs w:val="21"/>
        </w:rPr>
        <w:t xml:space="preserve">Cost-Benefit View: </w:t>
      </w:r>
      <w:r>
        <w:rPr>
          <w:rFonts w:ascii="Arial" w:cs="Arial" w:eastAsia="Arial" w:hAnsi="Arial"/>
          <w:color w:val="2C3E50"/>
          <w:sz w:val="21"/>
          <w:szCs w:val="21"/>
        </w:rPr>
        <w:t xml:space="preserve">"As a client, I want to see tool pricing alongside expected ROI per process step, so that I can build an internal business case."</w:t>
      </w:r>
    </w:p>
    <w:p>
      <w:pPr>
        <w:pStyle w:val="Heading1"/>
        <w:spacing w:before="360" w:after="200"/>
      </w:pPr>
      <w:r>
        <w:rPr>
          <w:rFonts w:ascii="Arial" w:cs="Arial" w:eastAsia="Arial" w:hAnsi="Arial"/>
          <w:b/>
          <w:bCs/>
          <w:color w:val="1B3A5C"/>
          <w:sz w:val="32"/>
          <w:szCs w:val="32"/>
        </w:rPr>
        <w:t xml:space="preserve">8. Requirements</w:t>
      </w:r>
    </w:p>
    <w:p>
      <w:pPr>
        <w:pStyle w:val="Heading2"/>
        <w:spacing w:before="280" w:after="160"/>
      </w:pPr>
      <w:r>
        <w:rPr>
          <w:rFonts w:ascii="Arial" w:cs="Arial" w:eastAsia="Arial" w:hAnsi="Arial"/>
          <w:b/>
          <w:bCs/>
          <w:color w:val="2E86AB"/>
          <w:sz w:val="26"/>
          <w:szCs w:val="26"/>
        </w:rPr>
        <w:t xml:space="preserve">8.1 Must-Have (P0) — 3-Day MVP</w:t>
      </w:r>
    </w:p>
    <w:p>
      <w:pPr>
        <w:spacing w:before="200" w:after="120"/>
      </w:pPr>
      <w:r>
        <w:rPr>
          <w:rFonts w:ascii="Arial" w:cs="Arial" w:eastAsia="Arial" w:hAnsi="Arial"/>
          <w:b/>
          <w:bCs/>
          <w:color w:val="2C3E50"/>
          <w:sz w:val="22"/>
          <w:szCs w:val="22"/>
        </w:rPr>
        <w:t xml:space="preserve">8.1.1 Tool Data Model</w:t>
      </w:r>
    </w:p>
    <w:p>
      <w:pPr>
        <w:spacing w:after="120" w:line="276"/>
      </w:pPr>
      <w:r>
        <w:rPr>
          <w:rFonts w:ascii="Arial" w:cs="Arial" w:eastAsia="Arial" w:hAnsi="Arial"/>
          <w:color w:val="2C3E50"/>
          <w:sz w:val="21"/>
          <w:szCs w:val="21"/>
        </w:rPr>
        <w:t xml:space="preserve">Each tool in the database has the following structured profile. Fields marked with ★ are new in v3 (Semantic Mapping focus).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Tool Name</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Official product name</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Vendor</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Company that makes/sells the tool</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Category</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Enum (multi)</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FP&amp;A, Accounts Payable (extensible to all 12 categories)</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Founded / Year</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Year</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When the vendor was established</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Description</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One-line summary of what the tool does</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Key Features</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Array&lt;String&gt;</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Top 5–10 capabilities</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AI Maturity Level</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Enum</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None | Basic Automation | ML-Powered | GenAI-Native</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AI Features</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Array&lt;Object&gt;</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Each: { feature_name, description, process_steps_covered[] }</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Process Step Coverage</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Array&lt;Enum&gt;</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Which of the 10 sub-steps this tool addresses (e.g., steps 1,2,3,6)</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Before/After Metrics</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Array&lt;Object&gt;</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Per process step: { step, metric, before_value, after_value, unit }</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Pricing Model</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Enum</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Per-user | Per-transaction | Flat-rate | Usage-based | Quote-only</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Pricing Details</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Public pricing info (e.g., ‘Starts at $15/user/mo’) or ‘Contact vendor’</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AI Features Pricing</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Whether AI features are included, add-on, or tier-gated</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Pros</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Array&lt;String&gt;</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Curated strengths from reviews and research</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Cons</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Array&lt;String&gt;</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Curated weaknesses</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Customer Review Summary</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Synthesized sentiment from G2/Capterra</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Review Score</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Float (0–5)</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Normalized score across review platforms</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Company Size Fit</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Enum (multi)</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SMB | Mid-Market | Enterprise</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Deployment</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Enum</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Cloud | On-Prem | Hybrid</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Integrations</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Array&lt;String&gt;</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Key systems it connects to (ERPs, banks, HR, CRM, etc.)</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Maturity</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Enum</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Established | Growth | Emerging</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Last Refreshed</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Timestamp</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When this tool’s data was last verified or updated</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Data Source</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Enum</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AI-Researched | Manually Verified | Vendor-Confirmed</w:t>
            </w:r>
          </w:p>
        </w:tc>
      </w:tr>
      <w:tr>
        <w:tc>
          <w:tcPr>
            <w:tcW w:type="dxa" w:w="280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b/>
                <w:bCs/>
                <w:color w:val="2C3E50"/>
                <w:sz w:val="20"/>
                <w:szCs w:val="20"/>
              </w:rPr>
              <w:t xml:space="preserve">★ Step → Aliases</w:t>
            </w:r>
          </w:p>
        </w:tc>
        <w:tc>
          <w:tcPr>
            <w:tcW w:type="dxa" w:w="228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Array&lt;String&gt;</w:t>
            </w:r>
          </w:p>
        </w:tc>
        <w:tc>
          <w:tcPr>
            <w:tcW w:type="dxa" w:w="428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30–50+ synonyms, sub-concepts, jargon, and acronyms that map to this step</w:t>
            </w:r>
          </w:p>
        </w:tc>
      </w:tr>
      <w:tr>
        <w:tc>
          <w:tcPr>
            <w:tcW w:type="dxa" w:w="280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b/>
                <w:bCs/>
                <w:color w:val="2C3E50"/>
                <w:sz w:val="20"/>
                <w:szCs w:val="20"/>
              </w:rPr>
              <w:t xml:space="preserve">★ Step → Embedding Vector</w:t>
            </w:r>
          </w:p>
        </w:tc>
        <w:tc>
          <w:tcPr>
            <w:tcW w:type="dxa" w:w="228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Float[768]</w:t>
            </w:r>
          </w:p>
        </w:tc>
        <w:tc>
          <w:tcPr>
            <w:tcW w:type="dxa" w:w="428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Semantic embedding for AI-based fuzzy matching of novel inputs</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Website URL</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URL</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Link to vendor/product page</w:t>
            </w:r>
          </w:p>
        </w:tc>
      </w:tr>
    </w:tbl>
    <w:p>
      <w:r>
        <w:br w:type="page"/>
      </w:r>
    </w:p>
    <w:p>
      <w:pPr>
        <w:spacing w:before="200" w:after="120"/>
      </w:pPr>
      <w:r>
        <w:rPr>
          <w:rFonts w:ascii="Arial" w:cs="Arial" w:eastAsia="Arial" w:hAnsi="Arial"/>
          <w:b/>
          <w:bCs/>
          <w:color w:val="2C3E50"/>
          <w:sz w:val="22"/>
          <w:szCs w:val="22"/>
        </w:rPr>
        <w:t xml:space="preserve">8.1.2 Process Map Data Model</w:t>
      </w:r>
    </w:p>
    <w:p>
      <w:pPr>
        <w:spacing w:after="120" w:line="276"/>
      </w:pPr>
      <w:r>
        <w:rPr>
          <w:rFonts w:ascii="Arial" w:cs="Arial" w:eastAsia="Arial" w:hAnsi="Arial"/>
          <w:color w:val="2C3E50"/>
          <w:sz w:val="21"/>
          <w:szCs w:val="21"/>
        </w:rPr>
        <w:t xml:space="preserve">Each finance function has a process map stored as structured data, enabling both visual rendering and tool-to-step mapping.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Function Name</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e.g., ‘Accounts Payable’, ‘FP&amp;A’</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Process Steps</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Array&lt;Object&gt;</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Ordered list of 8–12 sub-steps</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Step → Name</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e.g., ‘Invoice Receipt &amp; Capture’</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Step → Traditional Method</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How this step is done without AI</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Step → AI-Enabled Method</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How AI transforms this step</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Step → Impact Metrics</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Object</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 time_savings_pct, error_reduction_pct, fte_impact, cost_impact }</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Step → Relevant Tools</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Array&lt;ToolID&gt;</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Tools that address this specific step</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Step → AI Opportunity Score</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Enum</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Low | Medium | High | Transformative</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Step → Aliases</w:t>
            </w:r>
          </w:p>
        </w:tc>
        <w:tc>
          <w:tcPr>
            <w:tcW w:type="dxa" w:w="2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Array&lt;String&gt;</w:t>
            </w:r>
          </w:p>
        </w:tc>
        <w:tc>
          <w:tcPr>
            <w:tcW w:type="dxa" w:w="4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30–50+ synonyms, sub-concepts, jargon, and acronyms that map to this step</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Step → Embedding Vector</w:t>
            </w:r>
          </w:p>
        </w:tc>
        <w:tc>
          <w:tcPr>
            <w:tcW w:type="dxa" w:w="2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Float[768]</w:t>
            </w:r>
          </w:p>
        </w:tc>
        <w:tc>
          <w:tcPr>
            <w:tcW w:type="dxa" w:w="4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Semantic embedding for AI-based fuzzy matching of novel inputs</w:t>
            </w:r>
          </w:p>
        </w:tc>
      </w:tr>
    </w:tbl>
    <w:p>
      <w:pPr>
        <w:spacing w:before="200" w:after="120"/>
      </w:pPr>
      <w:r>
        <w:rPr>
          <w:rFonts w:ascii="Arial" w:cs="Arial" w:eastAsia="Arial" w:hAnsi="Arial"/>
          <w:b/>
          <w:bCs/>
          <w:color w:val="2C3E50"/>
          <w:sz w:val="22"/>
          <w:szCs w:val="22"/>
        </w:rPr>
        <w:t xml:space="preserve">8.1.3 Query Interface</w:t>
      </w:r>
    </w:p>
    <w:p>
      <w:pPr>
        <w:spacing w:after="80"/>
      </w:pPr>
    </w:p>
    <w:p>
      <w:pPr>
        <w:pStyle w:val="ListParagraph"/>
        <w:numPr>
          <w:ilvl w:val="0"/>
          <w:numId w:val="2"/>
        </w:numPr>
        <w:spacing w:after="60" w:line="276"/>
      </w:pPr>
      <w:r>
        <w:rPr>
          <w:rFonts w:ascii="Arial" w:cs="Arial" w:eastAsia="Arial" w:hAnsi="Arial"/>
          <w:b/>
          <w:bCs/>
          <w:color w:val="2C3E50"/>
          <w:sz w:val="21"/>
          <w:szCs w:val="21"/>
        </w:rPr>
        <w:t xml:space="preserve">Process-first navigation: </w:t>
      </w:r>
      <w:r>
        <w:rPr>
          <w:rFonts w:ascii="Arial" w:cs="Arial" w:eastAsia="Arial" w:hAnsi="Arial"/>
          <w:color w:val="2C3E50"/>
          <w:sz w:val="21"/>
          <w:szCs w:val="21"/>
        </w:rPr>
        <w:t xml:space="preserve">Landing page shows finance functions as clickable process maps, not just a search bar. Click ‘Accounts Payable’ to see the 10-step flow with AI overlays.</w:t>
      </w:r>
    </w:p>
    <w:p>
      <w:pPr>
        <w:pStyle w:val="ListParagraph"/>
        <w:numPr>
          <w:ilvl w:val="0"/>
          <w:numId w:val="2"/>
        </w:numPr>
        <w:spacing w:after="60" w:line="276"/>
      </w:pPr>
      <w:r>
        <w:rPr>
          <w:rFonts w:ascii="Arial" w:cs="Arial" w:eastAsia="Arial" w:hAnsi="Arial"/>
          <w:b/>
          <w:bCs/>
          <w:color w:val="2C3E50"/>
          <w:sz w:val="21"/>
          <w:szCs w:val="21"/>
        </w:rPr>
        <w:t xml:space="preserve">Step-to-tool drill-down: </w:t>
      </w:r>
      <w:r>
        <w:rPr>
          <w:rFonts w:ascii="Arial" w:cs="Arial" w:eastAsia="Arial" w:hAnsi="Arial"/>
          <w:color w:val="2C3E50"/>
          <w:sz w:val="21"/>
          <w:szCs w:val="21"/>
        </w:rPr>
        <w:t xml:space="preserve">Click any process step to see which tools address it, with their AI maturity level and before/after metrics.</w:t>
      </w:r>
    </w:p>
    <w:p>
      <w:pPr>
        <w:pStyle w:val="ListParagraph"/>
        <w:numPr>
          <w:ilvl w:val="0"/>
          <w:numId w:val="2"/>
        </w:numPr>
        <w:spacing w:after="60" w:line="276"/>
      </w:pPr>
      <w:r>
        <w:rPr>
          <w:rFonts w:ascii="Arial" w:cs="Arial" w:eastAsia="Arial" w:hAnsi="Arial"/>
          <w:b/>
          <w:bCs/>
          <w:color w:val="2C3E50"/>
          <w:sz w:val="21"/>
          <w:szCs w:val="21"/>
        </w:rPr>
        <w:t xml:space="preserve">Tool search and filter: </w:t>
      </w:r>
      <w:r>
        <w:rPr>
          <w:rFonts w:ascii="Arial" w:cs="Arial" w:eastAsia="Arial" w:hAnsi="Arial"/>
          <w:color w:val="2C3E50"/>
          <w:sz w:val="21"/>
          <w:szCs w:val="21"/>
        </w:rPr>
        <w:t xml:space="preserve">Search by tool name, filter by AI maturity, company size, pricing model, deployment, and process step coverage.</w:t>
      </w:r>
    </w:p>
    <w:p>
      <w:pPr>
        <w:pStyle w:val="ListParagraph"/>
        <w:numPr>
          <w:ilvl w:val="0"/>
          <w:numId w:val="2"/>
        </w:numPr>
        <w:spacing w:after="60" w:line="276"/>
      </w:pPr>
      <w:r>
        <w:rPr>
          <w:rFonts w:ascii="Arial" w:cs="Arial" w:eastAsia="Arial" w:hAnsi="Arial"/>
          <w:b/>
          <w:bCs/>
          <w:color w:val="2C3E50"/>
          <w:sz w:val="21"/>
          <w:szCs w:val="21"/>
        </w:rPr>
        <w:t xml:space="preserve">Comparison view: </w:t>
      </w:r>
      <w:r>
        <w:rPr>
          <w:rFonts w:ascii="Arial" w:cs="Arial" w:eastAsia="Arial" w:hAnsi="Arial"/>
          <w:color w:val="2C3E50"/>
          <w:sz w:val="21"/>
          <w:szCs w:val="21"/>
        </w:rPr>
        <w:t xml:space="preserve">Select 2–4 tools to compare across AI features, pricing, process coverage, reviews, and integrations.</w:t>
      </w:r>
    </w:p>
    <w:p>
      <w:pPr>
        <w:pStyle w:val="ListParagraph"/>
        <w:numPr>
          <w:ilvl w:val="0"/>
          <w:numId w:val="2"/>
        </w:numPr>
        <w:spacing w:after="60" w:line="276"/>
      </w:pPr>
      <w:r>
        <w:rPr>
          <w:rFonts w:ascii="Arial" w:cs="Arial" w:eastAsia="Arial" w:hAnsi="Arial"/>
          <w:b/>
          <w:bCs/>
          <w:color w:val="2C3E50"/>
          <w:sz w:val="21"/>
          <w:szCs w:val="21"/>
        </w:rPr>
        <w:t xml:space="preserve">Tool detail view: </w:t>
      </w:r>
      <w:r>
        <w:rPr>
          <w:rFonts w:ascii="Arial" w:cs="Arial" w:eastAsia="Arial" w:hAnsi="Arial"/>
          <w:color w:val="2C3E50"/>
          <w:sz w:val="21"/>
          <w:szCs w:val="21"/>
        </w:rPr>
        <w:t xml:space="preserve">Full structured profile including AI features mapped to process steps, pricing, and before/after metrics.</w:t>
      </w:r>
    </w:p>
    <w:p>
      <w:pPr>
        <w:spacing w:before="200" w:after="120"/>
      </w:pPr>
      <w:r>
        <w:rPr>
          <w:rFonts w:ascii="Arial" w:cs="Arial" w:eastAsia="Arial" w:hAnsi="Arial"/>
          <w:b/>
          <w:bCs/>
          <w:color w:val="2C3E50"/>
          <w:sz w:val="22"/>
          <w:szCs w:val="22"/>
        </w:rPr>
        <w:t xml:space="preserve">8.1.4 Pricing &amp; Commercial Data</w:t>
      </w:r>
    </w:p>
    <w:p>
      <w:pPr>
        <w:spacing w:after="80"/>
      </w:pPr>
    </w:p>
    <w:p>
      <w:pPr>
        <w:pStyle w:val="ListParagraph"/>
        <w:numPr>
          <w:ilvl w:val="0"/>
          <w:numId w:val="2"/>
        </w:numPr>
        <w:spacing w:after="60" w:line="276"/>
      </w:pPr>
      <w:r>
        <w:rPr>
          <w:rFonts w:ascii="Arial" w:cs="Arial" w:eastAsia="Arial" w:hAnsi="Arial"/>
          <w:b/>
          <w:bCs/>
          <w:color w:val="2C3E50"/>
          <w:sz w:val="21"/>
          <w:szCs w:val="21"/>
        </w:rPr>
        <w:t xml:space="preserve">Public pricing included: </w:t>
      </w:r>
      <w:r>
        <w:rPr>
          <w:rFonts w:ascii="Arial" w:cs="Arial" w:eastAsia="Arial" w:hAnsi="Arial"/>
          <w:color w:val="2C3E50"/>
          <w:sz w:val="21"/>
          <w:szCs w:val="21"/>
        </w:rPr>
        <w:t xml:space="preserve">For tools with publicly available pricing, display the pricing model and starting price point.</w:t>
      </w:r>
    </w:p>
    <w:p>
      <w:pPr>
        <w:pStyle w:val="ListParagraph"/>
        <w:numPr>
          <w:ilvl w:val="0"/>
          <w:numId w:val="2"/>
        </w:numPr>
        <w:spacing w:after="60" w:line="276"/>
      </w:pPr>
      <w:r>
        <w:rPr>
          <w:rFonts w:ascii="Arial" w:cs="Arial" w:eastAsia="Arial" w:hAnsi="Arial"/>
          <w:b/>
          <w:bCs/>
          <w:color w:val="2C3E50"/>
          <w:sz w:val="21"/>
          <w:szCs w:val="21"/>
        </w:rPr>
        <w:t xml:space="preserve">AI pricing differentiation: </w:t>
      </w:r>
      <w:r>
        <w:rPr>
          <w:rFonts w:ascii="Arial" w:cs="Arial" w:eastAsia="Arial" w:hAnsi="Arial"/>
          <w:color w:val="2C3E50"/>
          <w:sz w:val="21"/>
          <w:szCs w:val="21"/>
        </w:rPr>
        <w:t xml:space="preserve">Clearly indicate whether AI features are included in base pricing, available as add-ons, or gated behind enterprise tiers.</w:t>
      </w:r>
    </w:p>
    <w:p>
      <w:pPr>
        <w:pStyle w:val="ListParagraph"/>
        <w:numPr>
          <w:ilvl w:val="0"/>
          <w:numId w:val="2"/>
        </w:numPr>
        <w:spacing w:after="60" w:line="276"/>
      </w:pPr>
      <w:r>
        <w:rPr>
          <w:rFonts w:ascii="Arial" w:cs="Arial" w:eastAsia="Arial" w:hAnsi="Arial"/>
          <w:b/>
          <w:bCs/>
          <w:color w:val="2C3E50"/>
          <w:sz w:val="21"/>
          <w:szCs w:val="21"/>
        </w:rPr>
        <w:t xml:space="preserve">Quote-only flagging: </w:t>
      </w:r>
      <w:r>
        <w:rPr>
          <w:rFonts w:ascii="Arial" w:cs="Arial" w:eastAsia="Arial" w:hAnsi="Arial"/>
          <w:color w:val="2C3E50"/>
          <w:sz w:val="21"/>
          <w:szCs w:val="21"/>
        </w:rPr>
        <w:t xml:space="preserve">Tools without public pricing are marked ‘Contact vendor for quote’ with a direct link.</w:t>
      </w:r>
    </w:p>
    <w:p>
      <w:pPr>
        <w:pStyle w:val="ListParagraph"/>
        <w:numPr>
          <w:ilvl w:val="0"/>
          <w:numId w:val="2"/>
        </w:numPr>
        <w:spacing w:after="60" w:line="276"/>
      </w:pPr>
      <w:r>
        <w:rPr>
          <w:rFonts w:ascii="Arial" w:cs="Arial" w:eastAsia="Arial" w:hAnsi="Arial"/>
          <w:b/>
          <w:bCs/>
          <w:color w:val="2C3E50"/>
          <w:sz w:val="21"/>
          <w:szCs w:val="21"/>
        </w:rPr>
        <w:t xml:space="preserve">No gated/NDA data: </w:t>
      </w:r>
      <w:r>
        <w:rPr>
          <w:rFonts w:ascii="Arial" w:cs="Arial" w:eastAsia="Arial" w:hAnsi="Arial"/>
          <w:color w:val="2C3E50"/>
          <w:sz w:val="21"/>
          <w:szCs w:val="21"/>
        </w:rPr>
        <w:t xml:space="preserve">Never include pricing obtained through private channels or NDAs.</w:t>
      </w:r>
    </w:p>
    <w:p>
      <w:pPr>
        <w:spacing w:before="200" w:after="120"/>
      </w:pPr>
      <w:r>
        <w:rPr>
          <w:rFonts w:ascii="Arial" w:cs="Arial" w:eastAsia="Arial" w:hAnsi="Arial"/>
          <w:b/>
          <w:bCs/>
          <w:color w:val="2C3E50"/>
          <w:sz w:val="22"/>
          <w:szCs w:val="22"/>
        </w:rPr>
        <w:t xml:space="preserve">8.1.5 Data Population (AI-Assisted + Web Research)</w:t>
      </w:r>
    </w:p>
    <w:p>
      <w:pPr>
        <w:spacing w:after="80"/>
      </w:pPr>
    </w:p>
    <w:p>
      <w:pPr>
        <w:pStyle w:val="ListParagraph"/>
        <w:numPr>
          <w:ilvl w:val="0"/>
          <w:numId w:val="2"/>
        </w:numPr>
        <w:spacing w:after="60" w:line="276"/>
      </w:pPr>
      <w:r>
        <w:rPr>
          <w:rFonts w:ascii="Arial" w:cs="Arial" w:eastAsia="Arial" w:hAnsi="Arial"/>
          <w:b/>
          <w:bCs/>
          <w:color w:val="2C3E50"/>
          <w:sz w:val="21"/>
          <w:szCs w:val="21"/>
        </w:rPr>
        <w:t xml:space="preserve">AI-assisted seed: </w:t>
      </w:r>
      <w:r>
        <w:rPr>
          <w:rFonts w:ascii="Arial" w:cs="Arial" w:eastAsia="Arial" w:hAnsi="Arial"/>
          <w:color w:val="2C3E50"/>
          <w:sz w:val="21"/>
          <w:szCs w:val="21"/>
        </w:rPr>
        <w:t xml:space="preserve">Use AI web research to populate 15–20 tools per category with all fields including AI features and pricing.</w:t>
      </w:r>
    </w:p>
    <w:p>
      <w:pPr>
        <w:pStyle w:val="ListParagraph"/>
        <w:numPr>
          <w:ilvl w:val="0"/>
          <w:numId w:val="2"/>
        </w:numPr>
        <w:spacing w:after="60" w:line="276"/>
      </w:pPr>
      <w:r>
        <w:rPr>
          <w:rFonts w:ascii="Arial" w:cs="Arial" w:eastAsia="Arial" w:hAnsi="Arial"/>
          <w:b/>
          <w:bCs/>
          <w:color w:val="2C3E50"/>
          <w:sz w:val="21"/>
          <w:szCs w:val="21"/>
        </w:rPr>
        <w:t xml:space="preserve">Human verification: </w:t>
      </w:r>
      <w:r>
        <w:rPr>
          <w:rFonts w:ascii="Arial" w:cs="Arial" w:eastAsia="Arial" w:hAnsi="Arial"/>
          <w:color w:val="2C3E50"/>
          <w:sz w:val="21"/>
          <w:szCs w:val="21"/>
        </w:rPr>
        <w:t xml:space="preserve">All data flagged with source (AI-Researched / Manually Verified) and a last-refreshed timestamp.</w:t>
      </w:r>
    </w:p>
    <w:p>
      <w:pPr>
        <w:pStyle w:val="ListParagraph"/>
        <w:numPr>
          <w:ilvl w:val="0"/>
          <w:numId w:val="2"/>
        </w:numPr>
        <w:spacing w:after="60" w:line="276"/>
      </w:pPr>
      <w:r>
        <w:rPr>
          <w:rFonts w:ascii="Arial" w:cs="Arial" w:eastAsia="Arial" w:hAnsi="Arial"/>
          <w:b/>
          <w:bCs/>
          <w:color w:val="2C3E50"/>
          <w:sz w:val="21"/>
          <w:szCs w:val="21"/>
        </w:rPr>
        <w:t xml:space="preserve">Curator admin: </w:t>
      </w:r>
      <w:r>
        <w:rPr>
          <w:rFonts w:ascii="Arial" w:cs="Arial" w:eastAsia="Arial" w:hAnsi="Arial"/>
          <w:color w:val="2C3E50"/>
          <w:sz w:val="21"/>
          <w:szCs w:val="21"/>
        </w:rPr>
        <w:t xml:space="preserve">Admin interface for editing any field, triggering re-research for a tool, and adding new tools.</w:t>
      </w:r>
    </w:p>
    <w:p>
      <w:pPr>
        <w:spacing w:after="80"/>
      </w:pPr>
    </w:p>
    <w:p>
      <w:pPr>
        <w:pStyle w:val="Heading2"/>
        <w:spacing w:before="280" w:after="160"/>
      </w:pPr>
      <w:r>
        <w:rPr>
          <w:rFonts w:ascii="Arial" w:cs="Arial" w:eastAsia="Arial" w:hAnsi="Arial"/>
          <w:b/>
          <w:bCs/>
          <w:color w:val="2E86AB"/>
          <w:sz w:val="26"/>
          <w:szCs w:val="26"/>
        </w:rPr>
        <w:t xml:space="preserve">8.2 Nice-to-Have (P1) — Week 2</w:t>
      </w:r>
    </w:p>
    <w:p>
      <w:pPr>
        <w:spacing w:after="80"/>
      </w:pPr>
    </w:p>
    <w:p>
      <w:pPr>
        <w:pStyle w:val="ListParagraph"/>
        <w:numPr>
          <w:ilvl w:val="0"/>
          <w:numId w:val="2"/>
        </w:numPr>
        <w:spacing w:after="60" w:line="276"/>
      </w:pPr>
      <w:r>
        <w:rPr>
          <w:rFonts w:ascii="Arial" w:cs="Arial" w:eastAsia="Arial" w:hAnsi="Arial"/>
          <w:b/>
          <w:bCs/>
          <w:color w:val="2C3E50"/>
          <w:sz w:val="21"/>
          <w:szCs w:val="21"/>
        </w:rPr>
        <w:t xml:space="preserve">Live data refresh: </w:t>
      </w:r>
      <w:r>
        <w:rPr>
          <w:rFonts w:ascii="Arial" w:cs="Arial" w:eastAsia="Arial" w:hAnsi="Arial"/>
          <w:color w:val="2C3E50"/>
          <w:sz w:val="21"/>
          <w:szCs w:val="21"/>
        </w:rPr>
        <w:t xml:space="preserve">A ‘Refresh’ button per tool that triggers AI re-research from public sources, updating pricing, reviews, and AI features.</w:t>
      </w:r>
    </w:p>
    <w:p>
      <w:pPr>
        <w:pStyle w:val="ListParagraph"/>
        <w:numPr>
          <w:ilvl w:val="0"/>
          <w:numId w:val="2"/>
        </w:numPr>
        <w:spacing w:after="60" w:line="276"/>
      </w:pPr>
      <w:r>
        <w:rPr>
          <w:rFonts w:ascii="Arial" w:cs="Arial" w:eastAsia="Arial" w:hAnsi="Arial"/>
          <w:b/>
          <w:bCs/>
          <w:color w:val="2C3E50"/>
          <w:sz w:val="21"/>
          <w:szCs w:val="21"/>
        </w:rPr>
        <w:t xml:space="preserve">Export to PDF/XLSX: </w:t>
      </w:r>
      <w:r>
        <w:rPr>
          <w:rFonts w:ascii="Arial" w:cs="Arial" w:eastAsia="Arial" w:hAnsi="Arial"/>
          <w:color w:val="2C3E50"/>
          <w:sz w:val="21"/>
          <w:szCs w:val="21"/>
        </w:rPr>
        <w:t xml:space="preserve">Export a process map, comparison view, or tool profile as a client-ready document.</w:t>
      </w:r>
    </w:p>
    <w:p>
      <w:pPr>
        <w:pStyle w:val="ListParagraph"/>
        <w:numPr>
          <w:ilvl w:val="0"/>
          <w:numId w:val="2"/>
        </w:numPr>
        <w:spacing w:after="60" w:line="276"/>
      </w:pPr>
      <w:r>
        <w:rPr>
          <w:rFonts w:ascii="Arial" w:cs="Arial" w:eastAsia="Arial" w:hAnsi="Arial"/>
          <w:b/>
          <w:bCs/>
          <w:color w:val="2C3E50"/>
          <w:sz w:val="21"/>
          <w:szCs w:val="21"/>
        </w:rPr>
        <w:t xml:space="preserve">Integration network graph: </w:t>
      </w:r>
      <w:r>
        <w:rPr>
          <w:rFonts w:ascii="Arial" w:cs="Arial" w:eastAsia="Arial" w:hAnsi="Arial"/>
          <w:color w:val="2C3E50"/>
          <w:sz w:val="21"/>
          <w:szCs w:val="21"/>
        </w:rPr>
        <w:t xml:space="preserve">Visual map showing tool interconnections and ERP integration patterns.</w:t>
      </w:r>
    </w:p>
    <w:p>
      <w:pPr>
        <w:pStyle w:val="ListParagraph"/>
        <w:numPr>
          <w:ilvl w:val="0"/>
          <w:numId w:val="2"/>
        </w:numPr>
        <w:spacing w:after="60" w:line="276"/>
      </w:pPr>
      <w:r>
        <w:rPr>
          <w:rFonts w:ascii="Arial" w:cs="Arial" w:eastAsia="Arial" w:hAnsi="Arial"/>
          <w:b/>
          <w:bCs/>
          <w:color w:val="2C3E50"/>
          <w:sz w:val="21"/>
          <w:szCs w:val="21"/>
        </w:rPr>
        <w:t xml:space="preserve">Shareable links: </w:t>
      </w:r>
      <w:r>
        <w:rPr>
          <w:rFonts w:ascii="Arial" w:cs="Arial" w:eastAsia="Arial" w:hAnsi="Arial"/>
          <w:color w:val="2C3E50"/>
          <w:sz w:val="21"/>
          <w:szCs w:val="21"/>
        </w:rPr>
        <w:t xml:space="preserve">Read-only URL for a specific process map or comparison to share with clients.</w:t>
      </w:r>
    </w:p>
    <w:p>
      <w:pPr>
        <w:pStyle w:val="ListParagraph"/>
        <w:numPr>
          <w:ilvl w:val="0"/>
          <w:numId w:val="2"/>
        </w:numPr>
        <w:spacing w:after="60" w:line="276"/>
      </w:pPr>
      <w:r>
        <w:rPr>
          <w:rFonts w:ascii="Arial" w:cs="Arial" w:eastAsia="Arial" w:hAnsi="Arial"/>
          <w:b/>
          <w:bCs/>
          <w:color w:val="2C3E50"/>
          <w:sz w:val="21"/>
          <w:szCs w:val="21"/>
        </w:rPr>
        <w:t xml:space="preserve">AI readiness scorecard: </w:t>
      </w:r>
      <w:r>
        <w:rPr>
          <w:rFonts w:ascii="Arial" w:cs="Arial" w:eastAsia="Arial" w:hAnsi="Arial"/>
          <w:color w:val="2C3E50"/>
          <w:sz w:val="21"/>
          <w:szCs w:val="21"/>
        </w:rPr>
        <w:t xml:space="preserve">Auto-generated ‘AI readiness score’ per finance function based on which process steps have AI-capable tools.</w:t>
      </w:r>
    </w:p>
    <w:p>
      <w:pPr>
        <w:spacing w:after="80"/>
      </w:pPr>
    </w:p>
    <w:p>
      <w:pPr>
        <w:pStyle w:val="Heading2"/>
        <w:spacing w:before="280" w:after="160"/>
      </w:pPr>
      <w:r>
        <w:rPr>
          <w:rFonts w:ascii="Arial" w:cs="Arial" w:eastAsia="Arial" w:hAnsi="Arial"/>
          <w:b/>
          <w:bCs/>
          <w:color w:val="2E86AB"/>
          <w:sz w:val="26"/>
          <w:szCs w:val="26"/>
        </w:rPr>
        <w:t xml:space="preserve">8.3 Future Considerations (P2) — Month 2+</w:t>
      </w:r>
    </w:p>
    <w:p>
      <w:pPr>
        <w:spacing w:after="80"/>
      </w:pPr>
    </w:p>
    <w:p>
      <w:pPr>
        <w:pStyle w:val="ListParagraph"/>
        <w:numPr>
          <w:ilvl w:val="0"/>
          <w:numId w:val="2"/>
        </w:numPr>
        <w:spacing w:after="60" w:line="276"/>
      </w:pPr>
      <w:r>
        <w:rPr>
          <w:rFonts w:ascii="Arial" w:cs="Arial" w:eastAsia="Arial" w:hAnsi="Arial"/>
          <w:b/>
          <w:bCs/>
          <w:color w:val="2C3E50"/>
          <w:sz w:val="21"/>
          <w:szCs w:val="21"/>
        </w:rPr>
        <w:t xml:space="preserve">Full finance stack: </w:t>
      </w:r>
      <w:r>
        <w:rPr>
          <w:rFonts w:ascii="Arial" w:cs="Arial" w:eastAsia="Arial" w:hAnsi="Arial"/>
          <w:color w:val="2C3E50"/>
          <w:sz w:val="21"/>
          <w:szCs w:val="21"/>
        </w:rPr>
        <w:t xml:space="preserve">Expand to all 12 categories with process maps and tool coverage.</w:t>
      </w:r>
    </w:p>
    <w:p>
      <w:pPr>
        <w:pStyle w:val="ListParagraph"/>
        <w:numPr>
          <w:ilvl w:val="0"/>
          <w:numId w:val="2"/>
        </w:numPr>
        <w:spacing w:after="60" w:line="276"/>
      </w:pPr>
      <w:r>
        <w:rPr>
          <w:rFonts w:ascii="Arial" w:cs="Arial" w:eastAsia="Arial" w:hAnsi="Arial"/>
          <w:b/>
          <w:bCs/>
          <w:color w:val="2C3E50"/>
          <w:sz w:val="21"/>
          <w:szCs w:val="21"/>
        </w:rPr>
        <w:t xml:space="preserve">Scheduled auto-refresh: </w:t>
      </w:r>
      <w:r>
        <w:rPr>
          <w:rFonts w:ascii="Arial" w:cs="Arial" w:eastAsia="Arial" w:hAnsi="Arial"/>
          <w:color w:val="2C3E50"/>
          <w:sz w:val="21"/>
          <w:szCs w:val="21"/>
        </w:rPr>
        <w:t xml:space="preserve">Automated weekly/monthly AI re-research of all tools, with change detection and curator alerts.</w:t>
      </w:r>
    </w:p>
    <w:p>
      <w:pPr>
        <w:pStyle w:val="ListParagraph"/>
        <w:numPr>
          <w:ilvl w:val="0"/>
          <w:numId w:val="2"/>
        </w:numPr>
        <w:spacing w:after="60" w:line="276"/>
      </w:pPr>
      <w:r>
        <w:rPr>
          <w:rFonts w:ascii="Arial" w:cs="Arial" w:eastAsia="Arial" w:hAnsi="Arial"/>
          <w:b/>
          <w:bCs/>
          <w:color w:val="2C3E50"/>
          <w:sz w:val="21"/>
          <w:szCs w:val="21"/>
        </w:rPr>
        <w:t xml:space="preserve">Client workspace: </w:t>
      </w:r>
      <w:r>
        <w:rPr>
          <w:rFonts w:ascii="Arial" w:cs="Arial" w:eastAsia="Arial" w:hAnsi="Arial"/>
          <w:color w:val="2C3E50"/>
          <w:sz w:val="21"/>
          <w:szCs w:val="21"/>
        </w:rPr>
        <w:t xml:space="preserve">Per-client views where consultants can customize process maps to a client’s current state and build transformation roadmaps.</w:t>
      </w:r>
    </w:p>
    <w:p>
      <w:pPr>
        <w:pStyle w:val="ListParagraph"/>
        <w:numPr>
          <w:ilvl w:val="0"/>
          <w:numId w:val="2"/>
        </w:numPr>
        <w:spacing w:after="60" w:line="276"/>
      </w:pPr>
      <w:r>
        <w:rPr>
          <w:rFonts w:ascii="Arial" w:cs="Arial" w:eastAsia="Arial" w:hAnsi="Arial"/>
          <w:b/>
          <w:bCs/>
          <w:color w:val="2C3E50"/>
          <w:sz w:val="21"/>
          <w:szCs w:val="21"/>
        </w:rPr>
        <w:t xml:space="preserve">AI-powered recommendations: </w:t>
      </w:r>
      <w:r>
        <w:rPr>
          <w:rFonts w:ascii="Arial" w:cs="Arial" w:eastAsia="Arial" w:hAnsi="Arial"/>
          <w:color w:val="2C3E50"/>
          <w:sz w:val="21"/>
          <w:szCs w:val="21"/>
        </w:rPr>
        <w:t xml:space="preserve">‘Based on this client’s ERP and current tools, here are the highest-impact AI upgrades’ — intelligent matching.</w:t>
      </w:r>
    </w:p>
    <w:p>
      <w:pPr>
        <w:pStyle w:val="ListParagraph"/>
        <w:numPr>
          <w:ilvl w:val="0"/>
          <w:numId w:val="2"/>
        </w:numPr>
        <w:spacing w:after="60" w:line="276"/>
      </w:pPr>
      <w:r>
        <w:rPr>
          <w:rFonts w:ascii="Arial" w:cs="Arial" w:eastAsia="Arial" w:hAnsi="Arial"/>
          <w:b/>
          <w:bCs/>
          <w:color w:val="2C3E50"/>
          <w:sz w:val="21"/>
          <w:szCs w:val="21"/>
        </w:rPr>
        <w:t xml:space="preserve">Vendor self-service: </w:t>
      </w:r>
      <w:r>
        <w:rPr>
          <w:rFonts w:ascii="Arial" w:cs="Arial" w:eastAsia="Arial" w:hAnsi="Arial"/>
          <w:color w:val="2C3E50"/>
          <w:sz w:val="21"/>
          <w:szCs w:val="21"/>
        </w:rPr>
        <w:t xml:space="preserve">Vendors claim profiles and update their own data (with curator approval queue).</w:t>
      </w:r>
    </w:p>
    <w:p>
      <w:pPr>
        <w:pStyle w:val="ListParagraph"/>
        <w:numPr>
          <w:ilvl w:val="0"/>
          <w:numId w:val="2"/>
        </w:numPr>
        <w:spacing w:after="60" w:line="276"/>
      </w:pPr>
      <w:r>
        <w:rPr>
          <w:rFonts w:ascii="Arial" w:cs="Arial" w:eastAsia="Arial" w:hAnsi="Arial"/>
          <w:b/>
          <w:bCs/>
          <w:color w:val="2C3E50"/>
          <w:sz w:val="21"/>
          <w:szCs w:val="21"/>
        </w:rPr>
        <w:t xml:space="preserve">Review aggregation API: </w:t>
      </w:r>
      <w:r>
        <w:rPr>
          <w:rFonts w:ascii="Arial" w:cs="Arial" w:eastAsia="Arial" w:hAnsi="Arial"/>
          <w:color w:val="2C3E50"/>
          <w:sz w:val="21"/>
          <w:szCs w:val="21"/>
        </w:rPr>
        <w:t xml:space="preserve">Live syncing of review scores from G2, Capterra, and TrustRadius.</w:t>
      </w:r>
    </w:p>
    <w:p>
      <w:r>
        <w:br w:type="page"/>
      </w:r>
    </w:p>
    <w:p>
      <w:pPr>
        <w:pStyle w:val="Heading1"/>
        <w:spacing w:before="360" w:after="200"/>
      </w:pPr>
      <w:r>
        <w:rPr>
          <w:rFonts w:ascii="Arial" w:cs="Arial" w:eastAsia="Arial" w:hAnsi="Arial"/>
          <w:b/>
          <w:bCs/>
          <w:color w:val="1B3A5C"/>
          <w:sz w:val="32"/>
          <w:szCs w:val="32"/>
        </w:rPr>
        <w:t xml:space="preserve">9. Success Metrics</w:t>
      </w:r>
    </w:p>
    <w:p>
      <w:pPr>
        <w:pStyle w:val="Heading2"/>
        <w:spacing w:before="280" w:after="160"/>
      </w:pPr>
      <w:r>
        <w:rPr>
          <w:rFonts w:ascii="Arial" w:cs="Arial" w:eastAsia="Arial" w:hAnsi="Arial"/>
          <w:b/>
          <w:bCs/>
          <w:color w:val="2E86AB"/>
          <w:sz w:val="26"/>
          <w:szCs w:val="26"/>
        </w:rPr>
        <w:t xml:space="preserve">9.1 Leading Indicators (within 2 weeks)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2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Data completeness</w:t>
            </w:r>
          </w:p>
        </w:tc>
        <w:tc>
          <w:tcPr>
            <w:tcW w:type="dxa" w:w="3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100% of tools have all P0 fields including AI maturity, features, and pricing</w:t>
            </w:r>
          </w:p>
        </w:tc>
        <w:tc>
          <w:tcPr>
            <w:tcW w:type="dxa" w:w="3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Automated schema validation</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Process map coverage</w:t>
            </w:r>
          </w:p>
        </w:tc>
        <w:tc>
          <w:tcPr>
            <w:tcW w:type="dxa" w:w="3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10 sub-steps mapped for both AP and FP&amp;A with AI overlays</w:t>
            </w:r>
          </w:p>
        </w:tc>
        <w:tc>
          <w:tcPr>
            <w:tcW w:type="dxa" w:w="3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Content completeness check</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Tool count per category</w:t>
            </w:r>
          </w:p>
        </w:tc>
        <w:tc>
          <w:tcPr>
            <w:tcW w:type="dxa" w:w="3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≥15 tools in both FP&amp;A and AP</w:t>
            </w:r>
          </w:p>
        </w:tc>
        <w:tc>
          <w:tcPr>
            <w:tcW w:type="dxa" w:w="3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Database count query</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AI data quality</w:t>
            </w:r>
          </w:p>
        </w:tc>
        <w:tc>
          <w:tcPr>
            <w:tcW w:type="dxa" w:w="3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≥90% of AI maturity scores verified by human review</w:t>
            </w:r>
          </w:p>
        </w:tc>
        <w:tc>
          <w:tcPr>
            <w:tcW w:type="dxa" w:w="3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Curator review rate tracking</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Query-to-insight time</w:t>
            </w:r>
          </w:p>
        </w:tc>
        <w:tc>
          <w:tcPr>
            <w:tcW w:type="dxa" w:w="3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&lt;3 seconds from search to process map with tool overlay</w:t>
            </w:r>
          </w:p>
        </w:tc>
        <w:tc>
          <w:tcPr>
            <w:tcW w:type="dxa" w:w="3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Performance logging</w:t>
            </w:r>
          </w:p>
        </w:tc>
      </w:tr>
    </w:tbl>
    <w:p>
      <w:pPr>
        <w:pStyle w:val="Heading2"/>
        <w:spacing w:before="280" w:after="160"/>
      </w:pPr>
      <w:r>
        <w:rPr>
          <w:rFonts w:ascii="Arial" w:cs="Arial" w:eastAsia="Arial" w:hAnsi="Arial"/>
          <w:b/>
          <w:bCs/>
          <w:color w:val="2E86AB"/>
          <w:sz w:val="26"/>
          <w:szCs w:val="26"/>
        </w:rPr>
        <w:t xml:space="preserve">9.2 Lagging Indicators (after 1 month)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2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Proposal quality</w:t>
            </w:r>
          </w:p>
        </w:tc>
        <w:tc>
          <w:tcPr>
            <w:tcW w:type="dxa" w:w="3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Clients rate AI transformation proposals ≥4.5/5 when built using FinStack data</w:t>
            </w:r>
          </w:p>
        </w:tc>
        <w:tc>
          <w:tcPr>
            <w:tcW w:type="dxa" w:w="3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Post-engagement survey</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Time-to-proposal</w:t>
            </w:r>
          </w:p>
        </w:tc>
        <w:tc>
          <w:tcPr>
            <w:tcW w:type="dxa" w:w="3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70% reduction in research time for AI transformation deliverables</w:t>
            </w:r>
          </w:p>
        </w:tc>
        <w:tc>
          <w:tcPr>
            <w:tcW w:type="dxa" w:w="3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Before/after time tracking</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Win rate impact</w:t>
            </w:r>
          </w:p>
        </w:tc>
        <w:tc>
          <w:tcPr>
            <w:tcW w:type="dxa" w:w="3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Track correlation between FinStack-backed proposals and engagement win rate</w:t>
            </w:r>
          </w:p>
        </w:tc>
        <w:tc>
          <w:tcPr>
            <w:tcW w:type="dxa" w:w="32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CRM data analysis</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Data freshness</w:t>
            </w:r>
          </w:p>
        </w:tc>
        <w:tc>
          <w:tcPr>
            <w:tcW w:type="dxa" w:w="3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≥90% of tool profiles refreshed within last 30 days</w:t>
            </w:r>
          </w:p>
        </w:tc>
        <w:tc>
          <w:tcPr>
            <w:tcW w:type="dxa" w:w="32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Last-refreshed timestamp audit</w:t>
            </w:r>
          </w:p>
        </w:tc>
      </w:tr>
    </w:tbl>
    <w:p>
      <w:pPr>
        <w:pStyle w:val="Heading1"/>
        <w:spacing w:before="360" w:after="200"/>
      </w:pPr>
      <w:r>
        <w:rPr>
          <w:rFonts w:ascii="Arial" w:cs="Arial" w:eastAsia="Arial" w:hAnsi="Arial"/>
          <w:b/>
          <w:bCs/>
          <w:color w:val="1B3A5C"/>
          <w:sz w:val="32"/>
          <w:szCs w:val="32"/>
        </w:rPr>
        <w:t xml:space="preserve">10. Recommended Architecture (3-Day Build)</w:t>
      </w:r>
    </w:p>
    <w:p>
      <w:pPr>
        <w:spacing w:after="120" w:line="276"/>
      </w:pPr>
      <w:r>
        <w:rPr>
          <w:rFonts w:ascii="Arial" w:cs="Arial" w:eastAsia="Arial" w:hAnsi="Arial"/>
          <w:color w:val="2C3E50"/>
          <w:sz w:val="21"/>
          <w:szCs w:val="21"/>
        </w:rPr>
        <w:t xml:space="preserve">Optimized for Claude Code scaffolding, with live data refresh built into the architecture from Day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Frontend</w:t>
            </w:r>
          </w:p>
        </w:tc>
        <w:tc>
          <w:tcPr>
            <w:tcW w:type="dxa" w:w="3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Next.js 14 (App Router) + Tailwind + shadcn/ui</w:t>
            </w:r>
          </w:p>
        </w:tc>
        <w:tc>
          <w:tcPr>
            <w:tcW w:type="dxa" w:w="3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Fast scaffolding; SSR for process map pages; built-in API routes</w:t>
            </w:r>
          </w:p>
        </w:tc>
      </w:tr>
      <w:tr>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Database</w:t>
            </w:r>
          </w:p>
        </w:tc>
        <w:tc>
          <w:tcPr>
            <w:tcW w:type="dxa" w:w="3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PostgreSQL via Supabase (or SQLite + Drizzle for local dev)</w:t>
            </w:r>
          </w:p>
        </w:tc>
        <w:tc>
          <w:tcPr>
            <w:tcW w:type="dxa" w:w="3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Supabase gives hosted DB + instant API; supports JSON fields for AI features and process maps</w:t>
            </w:r>
          </w:p>
        </w:tc>
      </w:tr>
      <w:tr>
        <w:tc>
          <w:tcPr>
            <w:tcW w:type="dxa" w:w="2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Search</w:t>
            </w:r>
          </w:p>
        </w:tc>
        <w:tc>
          <w:tcPr>
            <w:tcW w:type="dxa" w:w="3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Supabase full-text search + client-side filtering</w:t>
            </w:r>
          </w:p>
        </w:tc>
        <w:tc>
          <w:tcPr>
            <w:tcW w:type="dxa" w:w="3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No separate search infra; supports natural language queries on tool descriptions</w:t>
            </w:r>
          </w:p>
        </w:tc>
      </w:tr>
      <w:tr>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Process Maps</w:t>
            </w:r>
          </w:p>
        </w:tc>
        <w:tc>
          <w:tcPr>
            <w:tcW w:type="dxa" w:w="3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React components with structured JSON data</w:t>
            </w:r>
          </w:p>
        </w:tc>
        <w:tc>
          <w:tcPr>
            <w:tcW w:type="dxa" w:w="3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Process flows rendered from JSON; easily editable; supports visual step-by-step layout</w:t>
            </w:r>
          </w:p>
        </w:tc>
      </w:tr>
      <w:tr>
        <w:tc>
          <w:tcPr>
            <w:tcW w:type="dxa" w:w="2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Data Seeding</w:t>
            </w:r>
          </w:p>
        </w:tc>
        <w:tc>
          <w:tcPr>
            <w:tcW w:type="dxa" w:w="3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JSON seed files + AI research scripts (Claude API)</w:t>
            </w:r>
          </w:p>
        </w:tc>
        <w:tc>
          <w:tcPr>
            <w:tcW w:type="dxa" w:w="3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Claude Code generates structured JSON from web research; seed script populates DB</w:t>
            </w:r>
          </w:p>
        </w:tc>
      </w:tr>
      <w:tr>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Data Refresh</w:t>
            </w:r>
          </w:p>
        </w:tc>
        <w:tc>
          <w:tcPr>
            <w:tcW w:type="dxa" w:w="3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API route that triggers Claude API re-research per tool</w:t>
            </w:r>
          </w:p>
        </w:tc>
        <w:tc>
          <w:tcPr>
            <w:tcW w:type="dxa" w:w="3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On-demand refresh; stores result with new timestamp; diff detection for curator review</w:t>
            </w:r>
          </w:p>
        </w:tc>
      </w:tr>
      <w:tr>
        <w:tc>
          <w:tcPr>
            <w:tcW w:type="dxa" w:w="2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Semantic Mapping</w:t>
            </w:r>
          </w:p>
        </w:tc>
        <w:tc>
          <w:tcPr>
            <w:tcW w:type="dxa" w:w="3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Alias lookup table + OpenAI/Claude embedding API for fuzzy match</w:t>
            </w:r>
          </w:p>
        </w:tc>
        <w:tc>
          <w:tcPr>
            <w:tcW w:type="dxa" w:w="3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Alias table handles 80%+ of queries instantly; embedding API handles novel phrasing; no separate vector DB needed for MVP</w:t>
            </w:r>
          </w:p>
        </w:tc>
      </w:tr>
      <w:tr>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Hosting</w:t>
            </w:r>
          </w:p>
        </w:tc>
        <w:tc>
          <w:tcPr>
            <w:tcW w:type="dxa" w:w="3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Vercel (frontend) + Supabase (DB + auth if needed later)</w:t>
            </w:r>
          </w:p>
        </w:tc>
        <w:tc>
          <w:tcPr>
            <w:tcW w:type="dxa" w:w="3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One-click deploy; free tier sufficient; scales when ready</w:t>
            </w:r>
          </w:p>
        </w:tc>
      </w:tr>
    </w:tbl>
    <w:p>
      <w:pPr>
        <w:spacing w:after="80"/>
      </w:pPr>
    </w:p>
    <w:p>
      <w:pPr>
        <w:pStyle w:val="Heading2"/>
        <w:spacing w:before="280" w:after="160"/>
      </w:pPr>
      <w:r>
        <w:rPr>
          <w:rFonts w:ascii="Arial" w:cs="Arial" w:eastAsia="Arial" w:hAnsi="Arial"/>
          <w:b/>
          <w:bCs/>
          <w:color w:val="2E86AB"/>
          <w:sz w:val="26"/>
          <w:szCs w:val="26"/>
        </w:rPr>
        <w:t xml:space="preserve">10.1 Suggested File Structure</w:t>
      </w:r>
    </w:p>
    <w:p>
      <w:pPr>
        <w:spacing w:after="80"/>
      </w:pPr>
    </w:p>
    <w:p>
      <w:pPr>
        <w:spacing w:after="120" w:line="276"/>
      </w:pPr>
      <w:r>
        <w:rPr>
          <w:rFonts w:ascii="Arial" w:cs="Arial" w:eastAsia="Arial" w:hAnsi="Arial"/>
          <w:b/>
          <w:bCs/>
          <w:color w:val="2C3E50"/>
          <w:sz w:val="21"/>
          <w:szCs w:val="21"/>
        </w:rPr>
        <w:t xml:space="preserve">finstack-navigator/</w:t>
      </w:r>
    </w:p>
    <w:p>
      <w:pPr>
        <w:pStyle w:val="ListParagraph"/>
        <w:numPr>
          <w:ilvl w:val="0"/>
          <w:numId w:val="2"/>
        </w:numPr>
        <w:spacing w:after="60" w:line="276"/>
      </w:pPr>
      <w:r>
        <w:rPr>
          <w:rFonts w:ascii="Arial" w:cs="Arial" w:eastAsia="Arial" w:hAnsi="Arial"/>
          <w:color w:val="2C3E50"/>
          <w:sz w:val="21"/>
          <w:szCs w:val="21"/>
        </w:rPr>
        <w:t xml:space="preserve">app/ — Next.js pages: home, /process/[function], /tool/[id], /compare</w:t>
      </w:r>
    </w:p>
    <w:p>
      <w:pPr>
        <w:pStyle w:val="ListParagraph"/>
        <w:numPr>
          <w:ilvl w:val="0"/>
          <w:numId w:val="2"/>
        </w:numPr>
        <w:spacing w:after="60" w:line="276"/>
      </w:pPr>
      <w:r>
        <w:rPr>
          <w:rFonts w:ascii="Arial" w:cs="Arial" w:eastAsia="Arial" w:hAnsi="Arial"/>
          <w:color w:val="2C3E50"/>
          <w:sz w:val="21"/>
          <w:szCs w:val="21"/>
        </w:rPr>
        <w:t xml:space="preserve">app/api/ — API routes: tools CRUD, search, refresh trigger</w:t>
      </w:r>
    </w:p>
    <w:p>
      <w:pPr>
        <w:pStyle w:val="ListParagraph"/>
        <w:numPr>
          <w:ilvl w:val="0"/>
          <w:numId w:val="2"/>
        </w:numPr>
        <w:spacing w:after="60" w:line="276"/>
      </w:pPr>
      <w:r>
        <w:rPr>
          <w:rFonts w:ascii="Arial" w:cs="Arial" w:eastAsia="Arial" w:hAnsi="Arial"/>
          <w:color w:val="2C3E50"/>
          <w:sz w:val="21"/>
          <w:szCs w:val="21"/>
        </w:rPr>
        <w:t xml:space="preserve">components/ — ProcessFlowMap, ToolCard, ComparisonTable, AIMaturityBadge, PricingCard, FilterPanel</w:t>
      </w:r>
    </w:p>
    <w:p>
      <w:pPr>
        <w:pStyle w:val="ListParagraph"/>
        <w:numPr>
          <w:ilvl w:val="0"/>
          <w:numId w:val="2"/>
        </w:numPr>
        <w:spacing w:after="60" w:line="276"/>
      </w:pPr>
      <w:r>
        <w:rPr>
          <w:rFonts w:ascii="Arial" w:cs="Arial" w:eastAsia="Arial" w:hAnsi="Arial"/>
          <w:color w:val="2C3E50"/>
          <w:sz w:val="21"/>
          <w:szCs w:val="21"/>
        </w:rPr>
        <w:t xml:space="preserve">db/ — Schema (Drizzle or Supabase types), migrations, seed scripts</w:t>
      </w:r>
    </w:p>
    <w:p>
      <w:pPr>
        <w:pStyle w:val="ListParagraph"/>
        <w:numPr>
          <w:ilvl w:val="0"/>
          <w:numId w:val="2"/>
        </w:numPr>
        <w:spacing w:after="60" w:line="276"/>
      </w:pPr>
      <w:r>
        <w:rPr>
          <w:rFonts w:ascii="Arial" w:cs="Arial" w:eastAsia="Arial" w:hAnsi="Arial"/>
          <w:color w:val="2C3E50"/>
          <w:sz w:val="21"/>
          <w:szCs w:val="21"/>
        </w:rPr>
        <w:t xml:space="preserve">data/ — JSON seed files: ap-tools.json, fpa-tools.json, ap-process.json, fpa-process.json</w:t>
      </w:r>
    </w:p>
    <w:p>
      <w:pPr>
        <w:pStyle w:val="ListParagraph"/>
        <w:numPr>
          <w:ilvl w:val="0"/>
          <w:numId w:val="2"/>
        </w:numPr>
        <w:spacing w:after="60" w:line="276"/>
      </w:pPr>
      <w:r>
        <w:rPr>
          <w:rFonts w:ascii="Arial" w:cs="Arial" w:eastAsia="Arial" w:hAnsi="Arial"/>
          <w:color w:val="2C3E50"/>
          <w:sz w:val="21"/>
          <w:szCs w:val="21"/>
        </w:rPr>
        <w:t xml:space="preserve">lib/ — Search, filtering, AI research helpers, data refresh logic</w:t>
      </w:r>
    </w:p>
    <w:p>
      <w:pPr>
        <w:pStyle w:val="ListParagraph"/>
        <w:numPr>
          <w:ilvl w:val="0"/>
          <w:numId w:val="2"/>
        </w:numPr>
        <w:spacing w:after="60" w:line="276"/>
      </w:pPr>
      <w:r>
        <w:rPr>
          <w:rFonts w:ascii="Arial" w:cs="Arial" w:eastAsia="Arial" w:hAnsi="Arial"/>
          <w:color w:val="2C3E50"/>
          <w:sz w:val="21"/>
          <w:szCs w:val="21"/>
        </w:rPr>
        <w:t xml:space="preserve">lib/semantic/ — Alias lookup, embedding matcher, confidence scorer, query logger</w:t>
      </w:r>
    </w:p>
    <w:p>
      <w:pPr>
        <w:pStyle w:val="ListParagraph"/>
        <w:numPr>
          <w:ilvl w:val="0"/>
          <w:numId w:val="2"/>
        </w:numPr>
        <w:spacing w:after="60" w:line="276"/>
      </w:pPr>
      <w:r>
        <w:rPr>
          <w:rFonts w:ascii="Arial" w:cs="Arial" w:eastAsia="Arial" w:hAnsi="Arial"/>
          <w:color w:val="2C3E50"/>
          <w:sz w:val="21"/>
          <w:szCs w:val="21"/>
        </w:rPr>
        <w:t xml:space="preserve">public/ — Static assets</w:t>
      </w:r>
    </w:p>
    <w:p>
      <w:pPr>
        <w:pStyle w:val="Heading2"/>
        <w:spacing w:before="280" w:after="160"/>
      </w:pPr>
      <w:r>
        <w:rPr>
          <w:rFonts w:ascii="Arial" w:cs="Arial" w:eastAsia="Arial" w:hAnsi="Arial"/>
          <w:b/>
          <w:bCs/>
          <w:color w:val="2E86AB"/>
          <w:sz w:val="26"/>
          <w:szCs w:val="26"/>
        </w:rPr>
        <w:t xml:space="preserve">10.2 Build Sequence (3 Days)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16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0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Day 1</w:t>
            </w:r>
          </w:p>
        </w:tc>
        <w:tc>
          <w:tcPr>
            <w:tcW w:type="dxa" w:w="51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Data model + process map JSON + alias seed data + tool seed data (15+ per category) + basic API</w:t>
            </w:r>
          </w:p>
        </w:tc>
        <w:tc>
          <w:tcPr>
            <w:tcW w:type="dxa" w:w="3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DB schema live; process maps seeded with aliases; AI features + pricing populated; semantic search resolves ‘AOP’ → Budget Creation</w:t>
            </w:r>
          </w:p>
        </w:tc>
      </w:tr>
      <w:tr>
        <w:tc>
          <w:tcPr>
            <w:tcW w:type="dxa" w:w="1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Day 2</w:t>
            </w:r>
          </w:p>
        </w:tc>
        <w:tc>
          <w:tcPr>
            <w:tcW w:type="dxa" w:w="51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Process flow UI + tool detail + comparison + search/filter</w:t>
            </w:r>
          </w:p>
        </w:tc>
        <w:tc>
          <w:tcPr>
            <w:tcW w:type="dxa" w:w="3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User can navigate process maps, click into steps, view tools, compare, and filter by AI maturity/pricing</w:t>
            </w:r>
          </w:p>
        </w:tc>
      </w:tr>
      <w:tr>
        <w:tc>
          <w:tcPr>
            <w:tcW w:type="dxa" w:w="1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Day 3</w:t>
            </w:r>
          </w:p>
        </w:tc>
        <w:tc>
          <w:tcPr>
            <w:tcW w:type="dxa" w:w="51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Polish, data refresh endpoint, deploy, and test with real queries</w:t>
            </w:r>
          </w:p>
        </w:tc>
        <w:tc>
          <w:tcPr>
            <w:tcW w:type="dxa" w:w="3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Deployed to Vercel; refresh button works; all P0 stories functional; team can access and use</w:t>
            </w:r>
          </w:p>
        </w:tc>
      </w:tr>
    </w:tbl>
    <w:p>
      <w:r>
        <w:br w:type="page"/>
      </w:r>
    </w:p>
    <w:p>
      <w:pPr>
        <w:pStyle w:val="Heading1"/>
        <w:spacing w:before="360" w:after="200"/>
      </w:pPr>
      <w:r>
        <w:rPr>
          <w:rFonts w:ascii="Arial" w:cs="Arial" w:eastAsia="Arial" w:hAnsi="Arial"/>
          <w:b/>
          <w:bCs/>
          <w:color w:val="1B3A5C"/>
          <w:sz w:val="32"/>
          <w:szCs w:val="32"/>
        </w:rPr>
        <w:t xml:space="preserve">11. Open Questions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60"/>
        <w:gridCol w:w="2200"/>
        <w:gridCol w:w="2000"/>
      </w:tblGrid>
      <w:tr>
        <w:tc>
          <w:tcPr>
            <w:tcW w:type="dxa" w:w="5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6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2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Q1</w:t>
            </w:r>
          </w:p>
        </w:tc>
        <w:tc>
          <w:tcPr>
            <w:tcW w:type="dxa" w:w="46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Should before/after metrics use industry benchmarks or be customizable per client?</w:t>
            </w:r>
          </w:p>
        </w:tc>
        <w:tc>
          <w:tcPr>
            <w:tcW w:type="dxa" w:w="2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Subhash (Product)</w:t>
            </w:r>
          </w:p>
        </w:tc>
        <w:tc>
          <w:tcPr>
            <w:tcW w:type="dxa" w:w="2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Data Model</w:t>
            </w:r>
          </w:p>
        </w:tc>
      </w:tr>
      <w:tr>
        <w:tc>
          <w:tcPr>
            <w:tcW w:type="dxa" w:w="5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Q2</w:t>
            </w:r>
          </w:p>
        </w:tc>
        <w:tc>
          <w:tcPr>
            <w:tcW w:type="dxa" w:w="46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How should we handle tools that span multiple categories (e.g., ERP with built-in AP)?</w:t>
            </w:r>
          </w:p>
        </w:tc>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Subhash (Product)</w:t>
            </w:r>
          </w:p>
        </w:tc>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Data Model</w:t>
            </w:r>
          </w:p>
        </w:tc>
      </w:tr>
      <w:tr>
        <w:tc>
          <w:tcPr>
            <w:tcW w:type="dxa" w:w="5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Q3</w:t>
            </w:r>
          </w:p>
        </w:tc>
        <w:tc>
          <w:tcPr>
            <w:tcW w:type="dxa" w:w="46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What is the acceptable data staleness threshold before a tool is flagged for re-research?</w:t>
            </w:r>
          </w:p>
        </w:tc>
        <w:tc>
          <w:tcPr>
            <w:tcW w:type="dxa" w:w="2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Subhash (Ops)</w:t>
            </w:r>
          </w:p>
        </w:tc>
        <w:tc>
          <w:tcPr>
            <w:tcW w:type="dxa" w:w="2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Data Quality</w:t>
            </w:r>
          </w:p>
        </w:tc>
      </w:tr>
      <w:tr>
        <w:tc>
          <w:tcPr>
            <w:tcW w:type="dxa" w:w="5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Q4</w:t>
            </w:r>
          </w:p>
        </w:tc>
        <w:tc>
          <w:tcPr>
            <w:tcW w:type="dxa" w:w="46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Should the AI maturity score include a vendor’s AI roadmap/trajectory, or only current capabilities?</w:t>
            </w:r>
          </w:p>
        </w:tc>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Consulting Team</w:t>
            </w:r>
          </w:p>
        </w:tc>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Methodology</w:t>
            </w:r>
          </w:p>
        </w:tc>
      </w:tr>
      <w:tr>
        <w:tc>
          <w:tcPr>
            <w:tcW w:type="dxa" w:w="5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Q5</w:t>
            </w:r>
          </w:p>
        </w:tc>
        <w:tc>
          <w:tcPr>
            <w:tcW w:type="dxa" w:w="46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For pricing, should we normalize to a common unit (e.g., annual cost for 100 users) for comparison?</w:t>
            </w:r>
          </w:p>
        </w:tc>
        <w:tc>
          <w:tcPr>
            <w:tcW w:type="dxa" w:w="2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Subhash (Product)</w:t>
            </w:r>
          </w:p>
        </w:tc>
        <w:tc>
          <w:tcPr>
            <w:tcW w:type="dxa" w:w="2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UX Design</w:t>
            </w:r>
          </w:p>
        </w:tc>
      </w:tr>
      <w:tr>
        <w:tc>
          <w:tcPr>
            <w:tcW w:type="dxa" w:w="5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Q6</w:t>
            </w:r>
          </w:p>
        </w:tc>
        <w:tc>
          <w:tcPr>
            <w:tcW w:type="dxa" w:w="46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Are there specific ERP ecosystems (SAP, Oracle, NetSuite) to prioritize for integration mapping?</w:t>
            </w:r>
          </w:p>
        </w:tc>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Consulting Team</w:t>
            </w:r>
          </w:p>
        </w:tc>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Data Priority</w:t>
            </w:r>
          </w:p>
        </w:tc>
      </w:tr>
      <w:tr>
        <w:tc>
          <w:tcPr>
            <w:tcW w:type="dxa" w:w="5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Q7</w:t>
            </w:r>
          </w:p>
        </w:tc>
        <w:tc>
          <w:tcPr>
            <w:tcW w:type="dxa" w:w="46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Do we need white-labeling/branding for client-facing shared views?</w:t>
            </w:r>
          </w:p>
        </w:tc>
        <w:tc>
          <w:tcPr>
            <w:tcW w:type="dxa" w:w="22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Subhash (Product)</w:t>
            </w:r>
          </w:p>
        </w:tc>
        <w:tc>
          <w:tcPr>
            <w:tcW w:type="dxa" w:w="20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UI/Design</w:t>
            </w:r>
          </w:p>
        </w:tc>
      </w:tr>
      <w:tr>
        <w:tc>
          <w:tcPr>
            <w:tcW w:type="dxa" w:w="5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Q8</w:t>
            </w:r>
          </w:p>
        </w:tc>
        <w:tc>
          <w:tcPr>
            <w:tcW w:type="dxa" w:w="46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What API should power the data refresh—Claude API, Perplexity, or custom web scraping?</w:t>
            </w:r>
          </w:p>
        </w:tc>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Engineering</w:t>
            </w:r>
          </w:p>
        </w:tc>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Architecture</w:t>
            </w:r>
          </w:p>
        </w:tc>
      </w:tr>
    </w:tbl>
    <w:p>
      <w:pPr>
        <w:pStyle w:val="Heading1"/>
        <w:spacing w:before="360" w:after="200"/>
      </w:pPr>
      <w:r>
        <w:rPr>
          <w:rFonts w:ascii="Arial" w:cs="Arial" w:eastAsia="Arial" w:hAnsi="Arial"/>
          <w:b/>
          <w:bCs/>
          <w:color w:val="1B3A5C"/>
          <w:sz w:val="32"/>
          <w:szCs w:val="32"/>
        </w:rPr>
        <w:t xml:space="preserve">12. Timeline and Phasing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34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Phase 1: MVP</w:t>
            </w:r>
          </w:p>
        </w:tc>
        <w:tc>
          <w:tcPr>
            <w:tcW w:type="dxa" w:w="4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AP + FP&amp;A process maps, tool DB with AI maturity + pricing, search/compare, deploy</w:t>
            </w:r>
          </w:p>
        </w:tc>
        <w:tc>
          <w:tcPr>
            <w:tcW w:type="dxa" w:w="234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3 days</w:t>
            </w:r>
          </w:p>
        </w:tc>
      </w:tr>
      <w:tr>
        <w:tc>
          <w:tcPr>
            <w:tcW w:type="dxa" w:w="234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Phase 2: Enrich</w:t>
            </w:r>
          </w:p>
        </w:tc>
        <w:tc>
          <w:tcPr>
            <w:tcW w:type="dxa" w:w="468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Live refresh, export, 4+ categories, integration graph, AI readiness scorecard</w:t>
            </w:r>
          </w:p>
        </w:tc>
        <w:tc>
          <w:tcPr>
            <w:tcW w:type="dxa" w:w="234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2 weeks</w:t>
            </w:r>
          </w:p>
        </w:tc>
      </w:tr>
      <w:tr>
        <w:tc>
          <w:tcPr>
            <w:tcW w:type="dxa" w:w="234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Phase 3: Scale</w:t>
            </w:r>
          </w:p>
        </w:tc>
        <w:tc>
          <w:tcPr>
            <w:tcW w:type="dxa" w:w="468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Full 12-category stack, client workspaces, auto-refresh, AI recommendations, vendor portal</w:t>
            </w:r>
          </w:p>
        </w:tc>
        <w:tc>
          <w:tcPr>
            <w:tcW w:type="dxa" w:w="234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2–3 months</w:t>
            </w:r>
          </w:p>
        </w:tc>
      </w:tr>
    </w:tbl>
    <w:p>
      <w:pPr>
        <w:spacing w:after="80"/>
      </w:pPr>
    </w:p>
    <w:p>
      <w:pPr>
        <w:pStyle w:val="Heading2"/>
        <w:spacing w:before="280" w:after="160"/>
      </w:pPr>
      <w:r>
        <w:rPr>
          <w:rFonts w:ascii="Arial" w:cs="Arial" w:eastAsia="Arial" w:hAnsi="Arial"/>
          <w:b/>
          <w:bCs/>
          <w:color w:val="2E86AB"/>
          <w:sz w:val="26"/>
          <w:szCs w:val="26"/>
        </w:rPr>
        <w:t xml:space="preserve">12.1 Key Dependencies</w:t>
      </w:r>
    </w:p>
    <w:p>
      <w:pPr>
        <w:spacing w:after="80"/>
      </w:pPr>
    </w:p>
    <w:p>
      <w:pPr>
        <w:pStyle w:val="ListParagraph"/>
        <w:numPr>
          <w:ilvl w:val="0"/>
          <w:numId w:val="2"/>
        </w:numPr>
        <w:spacing w:after="60" w:line="276"/>
      </w:pPr>
      <w:r>
        <w:rPr>
          <w:rFonts w:ascii="Arial" w:cs="Arial" w:eastAsia="Arial" w:hAnsi="Arial"/>
          <w:b/>
          <w:bCs/>
          <w:color w:val="2C3E50"/>
          <w:sz w:val="21"/>
          <w:szCs w:val="21"/>
        </w:rPr>
        <w:t xml:space="preserve">AI research quality: </w:t>
      </w:r>
      <w:r>
        <w:rPr>
          <w:rFonts w:ascii="Arial" w:cs="Arial" w:eastAsia="Arial" w:hAnsi="Arial"/>
          <w:color w:val="2C3E50"/>
          <w:sz w:val="21"/>
          <w:szCs w:val="21"/>
        </w:rPr>
        <w:t xml:space="preserve">Process map accuracy and tool AI feature data depend on AI-assisted research quality. Budget 30–60 min human review per category.</w:t>
      </w:r>
    </w:p>
    <w:p>
      <w:pPr>
        <w:pStyle w:val="ListParagraph"/>
        <w:numPr>
          <w:ilvl w:val="0"/>
          <w:numId w:val="2"/>
        </w:numPr>
        <w:spacing w:after="60" w:line="276"/>
      </w:pPr>
      <w:r>
        <w:rPr>
          <w:rFonts w:ascii="Arial" w:cs="Arial" w:eastAsia="Arial" w:hAnsi="Arial"/>
          <w:b/>
          <w:bCs/>
          <w:color w:val="2C3E50"/>
          <w:sz w:val="21"/>
          <w:szCs w:val="21"/>
        </w:rPr>
        <w:t xml:space="preserve">Pricing data availability: </w:t>
      </w:r>
      <w:r>
        <w:rPr>
          <w:rFonts w:ascii="Arial" w:cs="Arial" w:eastAsia="Arial" w:hAnsi="Arial"/>
          <w:color w:val="2C3E50"/>
          <w:sz w:val="21"/>
          <w:szCs w:val="21"/>
        </w:rPr>
        <w:t xml:space="preserve">Some vendors gate pricing behind sales calls. Expect ~20% of tools to be ‘Contact vendor’ in MVP.</w:t>
      </w:r>
    </w:p>
    <w:p>
      <w:pPr>
        <w:pStyle w:val="ListParagraph"/>
        <w:numPr>
          <w:ilvl w:val="0"/>
          <w:numId w:val="2"/>
        </w:numPr>
        <w:spacing w:after="60" w:line="276"/>
      </w:pPr>
      <w:r>
        <w:rPr>
          <w:rFonts w:ascii="Arial" w:cs="Arial" w:eastAsia="Arial" w:hAnsi="Arial"/>
          <w:b/>
          <w:bCs/>
          <w:color w:val="2C3E50"/>
          <w:sz w:val="21"/>
          <w:szCs w:val="21"/>
        </w:rPr>
        <w:t xml:space="preserve">Claude API access (for refresh): </w:t>
      </w:r>
      <w:r>
        <w:rPr>
          <w:rFonts w:ascii="Arial" w:cs="Arial" w:eastAsia="Arial" w:hAnsi="Arial"/>
          <w:color w:val="2C3E50"/>
          <w:sz w:val="21"/>
          <w:szCs w:val="21"/>
        </w:rPr>
        <w:t xml:space="preserve">Live refresh feature requires Claude API key for on-demand re-research. Can use a simpler approach (manual JSON edit) for Day 1–2.</w:t>
      </w:r>
    </w:p>
    <w:p>
      <w:pPr>
        <w:pStyle w:val="ListParagraph"/>
        <w:numPr>
          <w:ilvl w:val="0"/>
          <w:numId w:val="2"/>
        </w:numPr>
        <w:spacing w:after="60" w:line="276"/>
      </w:pPr>
      <w:r>
        <w:rPr>
          <w:rFonts w:ascii="Arial" w:cs="Arial" w:eastAsia="Arial" w:hAnsi="Arial"/>
          <w:b/>
          <w:bCs/>
          <w:color w:val="2C3E50"/>
          <w:sz w:val="21"/>
          <w:szCs w:val="21"/>
        </w:rPr>
        <w:t xml:space="preserve">Supabase/Vercel accounts: </w:t>
      </w:r>
      <w:r>
        <w:rPr>
          <w:rFonts w:ascii="Arial" w:cs="Arial" w:eastAsia="Arial" w:hAnsi="Arial"/>
          <w:color w:val="2C3E50"/>
          <w:sz w:val="21"/>
          <w:szCs w:val="21"/>
        </w:rPr>
        <w:t xml:space="preserve">Free tiers sufficient for MVP deployment.</w:t>
      </w:r>
    </w:p>
    <w:p>
      <w:pPr>
        <w:pStyle w:val="Heading1"/>
        <w:spacing w:before="360" w:after="200"/>
      </w:pPr>
      <w:r>
        <w:rPr>
          <w:rFonts w:ascii="Arial" w:cs="Arial" w:eastAsia="Arial" w:hAnsi="Arial"/>
          <w:b/>
          <w:bCs/>
          <w:color w:val="1B3A5C"/>
          <w:sz w:val="32"/>
          <w:szCs w:val="32"/>
        </w:rPr>
        <w:t xml:space="preserve">13. Appendix: Finance Stack Category Taxonomy</w:t>
      </w:r>
    </w:p>
    <w:p>
      <w:pPr>
        <w:spacing w:after="120" w:line="276"/>
      </w:pPr>
      <w:r>
        <w:rPr>
          <w:rFonts w:ascii="Arial" w:cs="Arial" w:eastAsia="Arial" w:hAnsi="Arial"/>
          <w:color w:val="2C3E50"/>
          <w:sz w:val="21"/>
          <w:szCs w:val="21"/>
        </w:rPr>
        <w:t xml:space="preserve">Full universe of categories. MVP categories marked with ★. Each will eventually have its own 8–12 step process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 &amp; Key AI Opportunities</w:t>
            </w:r>
          </w:p>
        </w:tc>
      </w:tr>
      <w:tr>
        <w:tc>
          <w:tcPr>
            <w:tcW w:type="dxa" w:w="280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b/>
                <w:bCs/>
                <w:color w:val="2C3E50"/>
                <w:sz w:val="20"/>
                <w:szCs w:val="20"/>
              </w:rPr>
              <w:t xml:space="preserve">★ Accounts Payable</w:t>
            </w:r>
          </w:p>
        </w:tc>
        <w:tc>
          <w:tcPr>
            <w:tcW w:type="dxa" w:w="656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Invoice processing, payment automation, vendor mgmt, 3-way matching — AI: OCR extraction, auto-coding, fraud detection, payment optimization</w:t>
            </w:r>
          </w:p>
        </w:tc>
      </w:tr>
      <w:tr>
        <w:tc>
          <w:tcPr>
            <w:tcW w:type="dxa" w:w="280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b/>
                <w:bCs/>
                <w:color w:val="2C3E50"/>
                <w:sz w:val="20"/>
                <w:szCs w:val="20"/>
              </w:rPr>
              <w:t xml:space="preserve">★ FP&amp;A</w:t>
            </w:r>
          </w:p>
        </w:tc>
        <w:tc>
          <w:tcPr>
            <w:tcW w:type="dxa" w:w="6560"/>
            <w:tcBorders>
              <w:top w:val="single" w:color="B8C9D9" w:sz="1"/>
              <w:left w:val="single" w:color="B8C9D9" w:sz="1"/>
              <w:bottom w:val="single" w:color="B8C9D9" w:sz="1"/>
              <w:right w:val="single" w:color="B8C9D9" w:sz="1"/>
            </w:tcBorders>
            <w:shd w:fill="E8F5E9" w:val="clear"/>
            <w:tcMar>
              <w:top w:type="dxa" w:w="80"/>
              <w:left w:type="dxa" w:w="120"/>
              <w:bottom w:type="dxa" w:w="80"/>
              <w:right w:type="dxa" w:w="120"/>
            </w:tcMar>
          </w:tcPr>
          <w:p>
            <w:r>
              <w:rPr>
                <w:rFonts w:ascii="Arial" w:cs="Arial" w:eastAsia="Arial" w:hAnsi="Arial"/>
                <w:color w:val="2C3E50"/>
                <w:sz w:val="20"/>
                <w:szCs w:val="20"/>
              </w:rPr>
              <w:t xml:space="preserve">Budgeting, forecasting, modeling, variance analysis, scenario planning — AI: ML forecasting, auto-variance narratives, NL querying, scenario generation</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ERP</w:t>
            </w:r>
          </w:p>
        </w:tc>
        <w:tc>
          <w:tcPr>
            <w:tcW w:type="dxa" w:w="65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Core ledger, GL, multi-entity consolidation, period close — AI: auto-journal entries, anomaly detection, close task automation</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Accounts Receivable</w:t>
            </w:r>
          </w:p>
        </w:tc>
        <w:tc>
          <w:tcPr>
            <w:tcW w:type="dxa" w:w="65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Invoicing, collections, cash application, credit mgmt — AI: payment prediction, auto-cash application, credit scoring</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Treasury</w:t>
            </w:r>
          </w:p>
        </w:tc>
        <w:tc>
          <w:tcPr>
            <w:tcW w:type="dxa" w:w="65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Cash management, bank connectivity, liquidity forecasting, FX/risk — AI: cash flow prediction, FX hedging optimization</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Controllership</w:t>
            </w:r>
          </w:p>
        </w:tc>
        <w:tc>
          <w:tcPr>
            <w:tcW w:type="dxa" w:w="65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Close mgmt, reconciliations, journal entries, audit prep — AI: auto-reconciliation, anomaly flagging, continuous close</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Expense Management</w:t>
            </w:r>
          </w:p>
        </w:tc>
        <w:tc>
          <w:tcPr>
            <w:tcW w:type="dxa" w:w="65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Expense reporting, corporate cards, policy enforcement — AI: receipt OCR, policy violation detection, spend analytics</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Payroll</w:t>
            </w:r>
          </w:p>
        </w:tc>
        <w:tc>
          <w:tcPr>
            <w:tcW w:type="dxa" w:w="65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Processing, tax compliance, benefits admin — AI: error detection, compliance monitoring, workforce cost modeling</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Tax</w:t>
            </w:r>
          </w:p>
        </w:tc>
        <w:tc>
          <w:tcPr>
            <w:tcW w:type="dxa" w:w="65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Compliance, provision, transfer pricing, indirect tax — AI: auto-classification, regulatory change monitoring, provision modeling</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Procurement</w:t>
            </w:r>
          </w:p>
        </w:tc>
        <w:tc>
          <w:tcPr>
            <w:tcW w:type="dxa" w:w="65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POs, sourcing, contracts, supplier onboarding — AI: spend analysis, supplier risk scoring, contract intelligence</w:t>
            </w:r>
          </w:p>
        </w:tc>
      </w:tr>
      <w:tr>
        <w:tc>
          <w:tcPr>
            <w:tcW w:type="dxa" w:w="280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b/>
                <w:bCs/>
                <w:color w:val="2C3E50"/>
                <w:sz w:val="20"/>
                <w:szCs w:val="20"/>
              </w:rPr>
              <w:t xml:space="preserve">Billing &amp; Revenue</w:t>
            </w:r>
          </w:p>
        </w:tc>
        <w:tc>
          <w:tcPr>
            <w:tcW w:type="dxa" w:w="6560"/>
            <w:tcBorders>
              <w:top w:val="single" w:color="B8C9D9" w:sz="1"/>
              <w:left w:val="single" w:color="B8C9D9" w:sz="1"/>
              <w:bottom w:val="single" w:color="B8C9D9" w:sz="1"/>
              <w:right w:val="single" w:color="B8C9D9"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Subscription billing, rev rec (ASC 606), CPQ — AI: revenue prediction, anomaly detection, dynamic pricing</w:t>
            </w:r>
          </w:p>
        </w:tc>
      </w:tr>
      <w:tr>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b/>
                <w:bCs/>
                <w:color w:val="2C3E50"/>
                <w:sz w:val="20"/>
                <w:szCs w:val="20"/>
              </w:rPr>
              <w:t xml:space="preserve">Audit &amp; GRC</w:t>
            </w:r>
          </w:p>
        </w:tc>
        <w:tc>
          <w:tcPr>
            <w:tcW w:type="dxa" w:w="6560"/>
            <w:tcBorders>
              <w:top w:val="single" w:color="B8C9D9" w:sz="1"/>
              <w:left w:val="single" w:color="B8C9D9" w:sz="1"/>
              <w:bottom w:val="single" w:color="B8C9D9" w:sz="1"/>
              <w:right w:val="single" w:color="B8C9D9" w:sz="1"/>
            </w:tcBorders>
            <w:tcMar>
              <w:top w:type="dxa" w:w="80"/>
              <w:left w:type="dxa" w:w="120"/>
              <w:bottom w:type="dxa" w:w="80"/>
              <w:right w:type="dxa" w:w="120"/>
            </w:tcMar>
          </w:tcPr>
          <w:p>
            <w:r>
              <w:rPr>
                <w:rFonts w:ascii="Arial" w:cs="Arial" w:eastAsia="Arial" w:hAnsi="Arial"/>
                <w:color w:val="2C3E50"/>
                <w:sz w:val="20"/>
                <w:szCs w:val="20"/>
              </w:rPr>
              <w:t xml:space="preserve">Internal audit, SOX, risk mgmt, controls — AI: continuous monitoring, risk scoring, automated testing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FinStack Navigator PRD v3.0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B8C9D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10"/>
    <w:lvlOverride w:ilvl="0">
      <w:startOverride w:val="1"/>
    </w:lvlOverride>
  </w:num>
  <w:num w:numId="3">
    <w:abstractNumId w:val="4"/>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2026-02-08T05:33:06.385Z</dcterms:created>
  <dcterms:modified xsi:type="dcterms:W3CDTF">2026-02-08T05:33:06.385Z</dcterms:modified>
</cp:coreProperties>
</file>

<file path=docProps/custom.xml><?xml version="1.0" encoding="utf-8"?>
<Properties xmlns="http://schemas.openxmlformats.org/officeDocument/2006/custom-properties" xmlns:vt="http://schemas.openxmlformats.org/officeDocument/2006/docPropsVTypes"/>
</file>