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2E75B6"/>
          <w:sz w:val="48"/>
          <w:szCs w:val="48"/>
        </w:rPr>
        <w:t xml:space="preserve">CORPORATE FUNDRAISING PLAYBOOK</w:t>
      </w:r>
    </w:p>
    <w:p>
      <w:pPr>
        <w:spacing w:after="100"/>
        <w:jc w:val="center"/>
      </w:pPr>
      <w:r>
        <w:rPr>
          <w:rFonts w:ascii="Arial" w:cs="Arial" w:eastAsia="Arial" w:hAnsi="Arial"/>
          <w:color w:val="555555"/>
          <w:sz w:val="28"/>
          <w:szCs w:val="28"/>
        </w:rPr>
        <w:t xml:space="preserve">World Food Movement – California Chapter</w:t>
      </w:r>
    </w:p>
    <w:p>
      <w:pPr>
        <w:spacing w:after="400"/>
        <w:jc w:val="center"/>
      </w:pPr>
      <w:r>
        <w:rPr>
          <w:rFonts w:ascii="Arial" w:cs="Arial" w:eastAsia="Arial" w:hAnsi="Arial"/>
          <w:color w:val="777777"/>
          <w:sz w:val="22"/>
          <w:szCs w:val="22"/>
        </w:rPr>
        <w:t xml:space="preserve">Serving De Anza College | Foothill College | Chabot College</w:t>
      </w:r>
    </w:p>
    <w:p>
      <w:pPr>
        <w:jc w:val="center"/>
      </w:pPr>
      <w:r>
        <w:rPr>
          <w:rFonts w:ascii="Arial" w:cs="Arial" w:eastAsia="Arial" w:hAnsi="Arial"/>
          <w:color w:val="999999"/>
          <w:sz w:val="22"/>
          <w:szCs w:val="22"/>
        </w:rPr>
        <w:t xml:space="preserve">Prepared: February 2026</w:t>
      </w:r>
    </w:p>
    <w:p>
      <w:r>
        <w:br w:type="page"/>
      </w:r>
    </w:p>
    <w:p>
      <w:pPr>
        <w:pStyle w:val="Heading1"/>
      </w:pPr>
      <w:r>
        <w:t xml:space="preserve">Section 1: Understanding Corporate Giving</w:t>
      </w:r>
    </w:p>
    <w:p>
      <w:pPr>
        <w:spacing w:after="120"/>
      </w:pPr>
      <w:r>
        <w:t xml:space="preserve">Before approaching any company, it is essential to understand the different ways corporations distribute philanthropic dollars. Each channel has its own process, timeline, and requirements. This section breaks down the four main channels and helps you identify which ones to prioritize.</w:t>
      </w:r>
    </w:p>
    <w:p>
      <w:pPr>
        <w:pStyle w:val="Heading2"/>
      </w:pPr>
      <w:r>
        <w:t xml:space="preserve">The Four Channels of Corporate Giving</w:t>
      </w:r>
    </w:p>
    <w:p>
      <w:pPr>
        <w:pStyle w:val="Heading3"/>
      </w:pPr>
      <w:r>
        <w:t xml:space="preserve">1. Corporate Foundations</w:t>
      </w:r>
    </w:p>
    <w:p>
      <w:pPr>
        <w:spacing w:after="120"/>
      </w:pPr>
      <w:r>
        <w:t xml:space="preserve">Many large companies have established private foundations (e.g., Google.org, Wells Fargo Foundation, Cisco Foundation). These are separate legal entities with their own boards, staff, and formal grant cycles. They typically publish RFPs (Requests for Proposals) or have open application windows on their websites.</w:t>
      </w:r>
    </w:p>
    <w:p>
      <w:pPr>
        <w:pStyle w:val="ListParagraph"/>
        <w:numPr>
          <w:ilvl w:val="0"/>
          <w:numId w:val="2"/>
        </w:numPr>
        <w:spacing w:after="80"/>
      </w:pPr>
      <w:r>
        <w:t xml:space="preserve">Grant sizes typically range from $5,000 to $100,000+ for community-level organizations</w:t>
      </w:r>
    </w:p>
    <w:p>
      <w:pPr>
        <w:pStyle w:val="ListParagraph"/>
        <w:numPr>
          <w:ilvl w:val="0"/>
          <w:numId w:val="2"/>
        </w:numPr>
        <w:spacing w:after="80"/>
      </w:pPr>
      <w:r>
        <w:t xml:space="preserve">Application cycles are usually annual, with deadlines posted 2–4 months in advance</w:t>
      </w:r>
    </w:p>
    <w:p>
      <w:pPr>
        <w:pStyle w:val="ListParagraph"/>
        <w:numPr>
          <w:ilvl w:val="0"/>
          <w:numId w:val="2"/>
        </w:numPr>
        <w:spacing w:after="80"/>
      </w:pPr>
      <w:r>
        <w:t xml:space="preserve">Decision timelines run 3–6 months from application to award</w:t>
      </w:r>
    </w:p>
    <w:p>
      <w:pPr>
        <w:pStyle w:val="ListParagraph"/>
        <w:numPr>
          <w:ilvl w:val="0"/>
          <w:numId w:val="2"/>
        </w:numPr>
        <w:spacing w:after="80"/>
      </w:pPr>
      <w:r>
        <w:t xml:space="preserve">Most require a 501(c)(3) determination letter, organizational budget, and program-specific proposal</w:t>
      </w:r>
    </w:p>
    <w:p>
      <w:pPr>
        <w:pStyle w:val="ListParagraph"/>
        <w:numPr>
          <w:ilvl w:val="0"/>
          <w:numId w:val="2"/>
        </w:numPr>
        <w:spacing w:after="80"/>
      </w:pPr>
      <w:r>
        <w:t xml:space="preserve">Many prioritize geographic proximity – strong advantage for WFM given Bay Area location</w:t>
      </w:r>
    </w:p>
    <w:p>
      <w:pPr>
        <w:pStyle w:val="Heading3"/>
      </w:pPr>
      <w:r>
        <w:t xml:space="preserve">2. Corporate Social Responsibility (CSR) Budgets</w:t>
      </w:r>
    </w:p>
    <w:p>
      <w:pPr>
        <w:spacing w:after="120"/>
      </w:pPr>
      <w:r>
        <w:t xml:space="preserve">Separate from foundations, many companies maintain CSR or community affairs budgets managed internally by marketing, HR, or a dedicated community team. These are more flexible and relationship-driven, often less formal than foundation grants.</w:t>
      </w:r>
    </w:p>
    <w:p>
      <w:pPr>
        <w:pStyle w:val="ListParagraph"/>
        <w:numPr>
          <w:ilvl w:val="0"/>
          <w:numId w:val="3"/>
        </w:numPr>
        <w:spacing w:after="80"/>
      </w:pPr>
      <w:r>
        <w:t xml:space="preserve">More flexible – can fund events, sponsorships, volunteer days, or unrestricted support</w:t>
      </w:r>
    </w:p>
    <w:p>
      <w:pPr>
        <w:pStyle w:val="ListParagraph"/>
        <w:numPr>
          <w:ilvl w:val="0"/>
          <w:numId w:val="3"/>
        </w:numPr>
        <w:spacing w:after="80"/>
      </w:pPr>
      <w:r>
        <w:t xml:space="preserve">Decisions often made by a single person (Community Affairs Manager, CSR Director)</w:t>
      </w:r>
    </w:p>
    <w:p>
      <w:pPr>
        <w:pStyle w:val="ListParagraph"/>
        <w:numPr>
          <w:ilvl w:val="0"/>
          <w:numId w:val="3"/>
        </w:numPr>
        <w:spacing w:after="80"/>
      </w:pPr>
      <w:r>
        <w:t xml:space="preserve">Faster turnaround – sometimes weeks rather than months</w:t>
      </w:r>
    </w:p>
    <w:p>
      <w:pPr>
        <w:pStyle w:val="ListParagraph"/>
        <w:numPr>
          <w:ilvl w:val="0"/>
          <w:numId w:val="3"/>
        </w:numPr>
        <w:spacing w:after="80"/>
      </w:pPr>
      <w:r>
        <w:t xml:space="preserve">Harder to discover – not always listed on company websites</w:t>
      </w:r>
    </w:p>
    <w:p>
      <w:pPr>
        <w:pStyle w:val="ListParagraph"/>
        <w:numPr>
          <w:ilvl w:val="0"/>
          <w:numId w:val="3"/>
        </w:numPr>
        <w:spacing w:after="80"/>
      </w:pPr>
      <w:r>
        <w:t xml:space="preserve">Relationship-dependent: personal connections matter significantly</w:t>
      </w:r>
    </w:p>
    <w:p>
      <w:pPr>
        <w:pStyle w:val="Heading3"/>
      </w:pPr>
      <w:r>
        <w:t xml:space="preserve">3. Employee Matching Gift Programs</w:t>
      </w:r>
    </w:p>
    <w:p>
      <w:pPr>
        <w:spacing w:after="120"/>
      </w:pPr>
      <w:r>
        <w:t xml:space="preserve">Most Fortune 500 companies will match charitable donations their employees make, typically dollar-for-dollar up to a set annual limit ($5,000–$25,000 per employee per year). This is a lower-effort, steady revenue source.</w:t>
      </w:r>
    </w:p>
    <w:p>
      <w:pPr>
        <w:pStyle w:val="ListParagraph"/>
        <w:numPr>
          <w:ilvl w:val="0"/>
          <w:numId w:val="4"/>
        </w:numPr>
        <w:spacing w:after="80"/>
      </w:pPr>
      <w:r>
        <w:t xml:space="preserve">Requires marketing to individual donors to submit match requests through their employer</w:t>
      </w:r>
    </w:p>
    <w:p>
      <w:pPr>
        <w:pStyle w:val="ListParagraph"/>
        <w:numPr>
          <w:ilvl w:val="0"/>
          <w:numId w:val="4"/>
        </w:numPr>
        <w:spacing w:after="80"/>
      </w:pPr>
      <w:r>
        <w:t xml:space="preserve">Platforms like Benevity, YourCause, and CyberGrants manage matching for most companies</w:t>
      </w:r>
    </w:p>
    <w:p>
      <w:pPr>
        <w:pStyle w:val="ListParagraph"/>
        <w:numPr>
          <w:ilvl w:val="0"/>
          <w:numId w:val="4"/>
        </w:numPr>
        <w:spacing w:after="80"/>
      </w:pPr>
      <w:r>
        <w:t xml:space="preserve">Apple, Google, Microsoft, and Salesforce are among the most generous matchers</w:t>
      </w:r>
    </w:p>
    <w:p>
      <w:pPr>
        <w:pStyle w:val="ListParagraph"/>
        <w:numPr>
          <w:ilvl w:val="0"/>
          <w:numId w:val="4"/>
        </w:numPr>
        <w:spacing w:after="80"/>
      </w:pPr>
      <w:r>
        <w:t xml:space="preserve">Many companies also offer Volunteer Grants: dollars donated when employees volunteer a set number of hours</w:t>
      </w:r>
    </w:p>
    <w:p>
      <w:pPr>
        <w:pStyle w:val="Heading3"/>
      </w:pPr>
      <w:r>
        <w:t xml:space="preserve">4. In-Kind Giving</w:t>
      </w:r>
    </w:p>
    <w:p>
      <w:pPr>
        <w:spacing w:after="120"/>
      </w:pPr>
      <w:r>
        <w:t xml:space="preserve">Companies can donate goods, services, or employee time rather than cash. While not direct revenue, in-kind support can offset significant operating costs and deepen relationships that lead to cash gifts later.</w:t>
      </w:r>
    </w:p>
    <w:p>
      <w:pPr>
        <w:pStyle w:val="ListParagraph"/>
        <w:numPr>
          <w:ilvl w:val="0"/>
          <w:numId w:val="5"/>
        </w:numPr>
        <w:spacing w:after="80"/>
      </w:pPr>
      <w:r>
        <w:t xml:space="preserve">Food companies: product donations (grocery chains, food distributors, farms)</w:t>
      </w:r>
    </w:p>
    <w:p>
      <w:pPr>
        <w:pStyle w:val="ListParagraph"/>
        <w:numPr>
          <w:ilvl w:val="0"/>
          <w:numId w:val="5"/>
        </w:numPr>
        <w:spacing w:after="80"/>
      </w:pPr>
      <w:r>
        <w:t xml:space="preserve">Tech companies: software licenses, cloud hosting, pro-bono engineering</w:t>
      </w:r>
    </w:p>
    <w:p>
      <w:pPr>
        <w:pStyle w:val="ListParagraph"/>
        <w:numPr>
          <w:ilvl w:val="0"/>
          <w:numId w:val="5"/>
        </w:numPr>
        <w:spacing w:after="80"/>
      </w:pPr>
      <w:r>
        <w:t xml:space="preserve">Professional services firms: pro-bono legal, accounting, marketing, consulting</w:t>
      </w:r>
    </w:p>
    <w:p>
      <w:pPr>
        <w:pStyle w:val="ListParagraph"/>
        <w:numPr>
          <w:ilvl w:val="0"/>
          <w:numId w:val="5"/>
        </w:numPr>
        <w:spacing w:after="80"/>
      </w:pPr>
      <w:r>
        <w:t xml:space="preserve">All companies: employee volunteer days, team service projects at your sites</w:t>
      </w:r>
    </w:p>
    <w:p>
      <w:pPr>
        <w:spacing w:after="200"/>
      </w:pPr>
    </w:p>
    <w:p>
      <w:pPr>
        <w:pStyle w:val="Heading2"/>
      </w:pPr>
      <w:r>
        <w:t xml:space="preserve">Channel 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Size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 Level</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Corporate Foundation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$5K–$100K+</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3–6 months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recurring grants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CSR 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$1K–$50K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2–12 weeks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Flexible, event-based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Matching</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$100–$25K/person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Steady baseline revenue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In-Kind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 weeks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offset, relationship</w:t>
            </w:r>
          </w:p>
        </w:tc>
      </w:tr>
    </w:tbl>
    <w:p>
      <w:r>
        <w:br w:type="page"/>
      </w:r>
    </w:p>
    <w:p>
      <w:pPr>
        <w:pStyle w:val="Heading1"/>
      </w:pPr>
      <w:r>
        <w:t xml:space="preserve">Section 2: Your Geographic Advantage</w:t>
      </w:r>
    </w:p>
    <w:p>
      <w:pPr>
        <w:spacing w:after="120"/>
      </w:pPr>
      <w:r>
        <w:t xml:space="preserve">One of the most powerful levers in corporate fundraising is geographic alignment. Companies want to demonstrate community impact in the regions where their employees live and work. World Food Movement’s California chapter is uniquely positioned in the heart of Silicon Valley and the East Bay – home to some of the world’s most philanthropically active companies.</w:t>
      </w:r>
    </w:p>
    <w:p>
      <w:pPr>
        <w:pStyle w:val="Heading2"/>
      </w:pPr>
      <w:r>
        <w:t xml:space="preserve">Your Campus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College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Nearby Corporate HQs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 Anza College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Cupertino, CA</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Synopsys, Seagate, Juniper Networks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Foothill College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Los Altos Hills, 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(nearby), Intuit, HP Enterprise, Palo Alto Networks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Chabot College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Hayward, CA</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Kaiser Permanente, Clorox, Ross Stores, Loop Industries</w:t>
            </w:r>
          </w:p>
        </w:tc>
      </w:tr>
    </w:tbl>
    <w:p>
      <w:pPr>
        <w:spacing w:after="200"/>
      </w:pPr>
    </w:p>
    <w:p>
      <w:pPr>
        <w:spacing w:after="120"/>
      </w:pPr>
      <w:r>
        <w:t xml:space="preserve">When you pitch to these companies, you can say: “Your employees drive past our campus every day. The students we feed are from your community.” That’s a powerful message that generic national nonprofits cannot match.</w:t>
      </w:r>
    </w:p>
    <w:p>
      <w:pPr>
        <w:pStyle w:val="Heading2"/>
      </w:pPr>
      <w:r>
        <w:t xml:space="preserve">How to Use Geography in Your Pitch</w:t>
      </w:r>
    </w:p>
    <w:p>
      <w:pPr>
        <w:pStyle w:val="ListParagraph"/>
        <w:numPr>
          <w:ilvl w:val="0"/>
          <w:numId w:val="6"/>
        </w:numPr>
        <w:spacing w:after="80"/>
      </w:pPr>
      <w:r>
        <w:t xml:space="preserve">Lead with local impact: “We serve X students experiencing food insecurity within 5 miles of your headquarters.”</w:t>
      </w:r>
    </w:p>
    <w:p>
      <w:pPr>
        <w:pStyle w:val="ListParagraph"/>
        <w:numPr>
          <w:ilvl w:val="0"/>
          <w:numId w:val="6"/>
        </w:numPr>
        <w:spacing w:after="80"/>
      </w:pPr>
      <w:r>
        <w:t xml:space="preserve">Offer visibility: Invite corporate partners to campus events, food pantry volunteer days, or student appreciation meals.</w:t>
      </w:r>
    </w:p>
    <w:p>
      <w:pPr>
        <w:pStyle w:val="ListParagraph"/>
        <w:numPr>
          <w:ilvl w:val="0"/>
          <w:numId w:val="6"/>
        </w:numPr>
        <w:spacing w:after="80"/>
      </w:pPr>
      <w:r>
        <w:t xml:space="preserve">Quantify the community connection: Use zip code data to show overlap between your students and the company’s employee base.</w:t>
      </w:r>
    </w:p>
    <w:p>
      <w:pPr>
        <w:pStyle w:val="ListParagraph"/>
        <w:numPr>
          <w:ilvl w:val="0"/>
          <w:numId w:val="6"/>
        </w:numPr>
        <w:spacing w:after="80"/>
      </w:pPr>
      <w:r>
        <w:t xml:space="preserve">Propose co-branding: Signage at food pantries, logo placement on event materials, social media features.</w:t>
      </w:r>
    </w:p>
    <w:p>
      <w:r>
        <w:br w:type="page"/>
      </w:r>
    </w:p>
    <w:p>
      <w:pPr>
        <w:pStyle w:val="Heading1"/>
      </w:pPr>
      <w:r>
        <w:t xml:space="preserve">Section 3: The Corporate Fundraising Process</w:t>
      </w:r>
    </w:p>
    <w:p>
      <w:pPr>
        <w:spacing w:after="120"/>
      </w:pPr>
      <w:r>
        <w:t xml:space="preserve">This section walks you through the end-to-end process of identifying, approaching, and securing corporate funding. Follow these steps in order for each prospect.</w:t>
      </w:r>
    </w:p>
    <w:p>
      <w:pPr>
        <w:pStyle w:val="Heading2"/>
      </w:pPr>
      <w:r>
        <w:t xml:space="preserve">Step 1: Research and Prospect Identification</w:t>
      </w:r>
    </w:p>
    <w:p>
      <w:pPr>
        <w:spacing w:after="120"/>
      </w:pPr>
      <w:r>
        <w:t xml:space="preserve">Goal: Build a list of 20–50 companies to target in your first round of outreach.</w:t>
      </w:r>
    </w:p>
    <w:p>
      <w:pPr>
        <w:spacing w:after="120"/>
      </w:pPr>
      <w:r>
        <w:rPr>
          <w:b/>
          <w:bCs/>
        </w:rPr>
        <w:t xml:space="preserve">Where to research:</w:t>
      </w:r>
      <w:r>
        <w:t xml:space="preserve"/>
      </w:r>
    </w:p>
    <w:p>
      <w:pPr>
        <w:pStyle w:val="ListParagraph"/>
        <w:numPr>
          <w:ilvl w:val="0"/>
          <w:numId w:val="7"/>
        </w:numPr>
        <w:spacing w:after="80"/>
      </w:pPr>
      <w:r>
        <w:t xml:space="preserve">Company websites: Look for “Community,” “Foundation,” “Corporate Responsibility,” or “Giving” pages</w:t>
      </w:r>
    </w:p>
    <w:p>
      <w:pPr>
        <w:pStyle w:val="ListParagraph"/>
        <w:numPr>
          <w:ilvl w:val="0"/>
          <w:numId w:val="7"/>
        </w:numPr>
        <w:spacing w:after="80"/>
      </w:pPr>
      <w:r>
        <w:t xml:space="preserve">Foundation directories: Foundation Directory Online (candid.org), GrantStation, Instrumentl</w:t>
      </w:r>
    </w:p>
    <w:p>
      <w:pPr>
        <w:pStyle w:val="ListParagraph"/>
        <w:numPr>
          <w:ilvl w:val="0"/>
          <w:numId w:val="7"/>
        </w:numPr>
        <w:spacing w:after="80"/>
      </w:pPr>
      <w:r>
        <w:t xml:space="preserve">IRS Form 990s: Search on ProPublica Nonprofit Explorer to see who foundations have funded</w:t>
      </w:r>
    </w:p>
    <w:p>
      <w:pPr>
        <w:pStyle w:val="ListParagraph"/>
        <w:numPr>
          <w:ilvl w:val="0"/>
          <w:numId w:val="7"/>
        </w:numPr>
        <w:spacing w:after="80"/>
      </w:pPr>
      <w:r>
        <w:t xml:space="preserve">Local business journals: Silicon Valley Business Journal, SF Business Times for company profiles</w:t>
      </w:r>
    </w:p>
    <w:p>
      <w:pPr>
        <w:pStyle w:val="ListParagraph"/>
        <w:numPr>
          <w:ilvl w:val="0"/>
          <w:numId w:val="7"/>
        </w:numPr>
        <w:spacing w:after="80"/>
      </w:pPr>
      <w:r>
        <w:t xml:space="preserve">LinkedIn: Search for “Community Affairs Manager” or “CSR Director” at target companies</w:t>
      </w:r>
    </w:p>
    <w:p>
      <w:pPr>
        <w:spacing w:after="200"/>
      </w:pPr>
    </w:p>
    <w:p>
      <w:pPr>
        <w:spacing w:after="120"/>
      </w:pPr>
      <w:r>
        <w:rPr>
          <w:b/>
          <w:bCs/>
        </w:rPr>
        <w:t xml:space="preserve">What to look for:</w:t>
      </w:r>
      <w:r>
        <w:t xml:space="preserve"/>
      </w:r>
    </w:p>
    <w:p>
      <w:pPr>
        <w:pStyle w:val="ListParagraph"/>
        <w:numPr>
          <w:ilvl w:val="0"/>
          <w:numId w:val="8"/>
        </w:numPr>
        <w:spacing w:after="80"/>
      </w:pPr>
      <w:r>
        <w:t xml:space="preserve">Does the company have a giving program? (Foundation, CSR page, or community section on website)</w:t>
      </w:r>
    </w:p>
    <w:p>
      <w:pPr>
        <w:pStyle w:val="ListParagraph"/>
        <w:numPr>
          <w:ilvl w:val="0"/>
          <w:numId w:val="8"/>
        </w:numPr>
        <w:spacing w:after="80"/>
      </w:pPr>
      <w:r>
        <w:t xml:space="preserve">Do their focus areas align? Look for: food security, hunger, education, community development, health/wellness</w:t>
      </w:r>
    </w:p>
    <w:p>
      <w:pPr>
        <w:pStyle w:val="ListParagraph"/>
        <w:numPr>
          <w:ilvl w:val="0"/>
          <w:numId w:val="8"/>
        </w:numPr>
        <w:spacing w:after="80"/>
      </w:pPr>
      <w:r>
        <w:t xml:space="preserve">Is there a geographic focus on the Bay Area, Silicon Valley, or California?</w:t>
      </w:r>
    </w:p>
    <w:p>
      <w:pPr>
        <w:pStyle w:val="ListParagraph"/>
        <w:numPr>
          <w:ilvl w:val="0"/>
          <w:numId w:val="8"/>
        </w:numPr>
        <w:spacing w:after="80"/>
      </w:pPr>
      <w:r>
        <w:t xml:space="preserve">What is their typical grant size? (Check 990s for past grants made)</w:t>
      </w:r>
    </w:p>
    <w:p>
      <w:pPr>
        <w:pStyle w:val="ListParagraph"/>
        <w:numPr>
          <w:ilvl w:val="0"/>
          <w:numId w:val="8"/>
        </w:numPr>
        <w:spacing w:after="80"/>
      </w:pPr>
      <w:r>
        <w:t xml:space="preserve">Have they funded similar organizations before?</w:t>
      </w:r>
    </w:p>
    <w:p>
      <w:pPr>
        <w:pStyle w:val="Heading2"/>
      </w:pPr>
      <w:r>
        <w:t xml:space="preserve">Step 2: Prioritize Your Prospects</w:t>
      </w:r>
    </w:p>
    <w:p>
      <w:pPr>
        <w:spacing w:after="120"/>
      </w:pPr>
      <w:r>
        <w:t xml:space="preserve">Not all prospects are equal. Rank them based on three factors using your prospect tracker spreadsheet:</w:t>
      </w:r>
    </w:p>
    <w:p>
      <w:pPr>
        <w:spacing w:after="120"/>
      </w:pPr>
      <w:r>
        <w:rPr>
          <w:b/>
          <w:bCs/>
        </w:rPr>
        <w:t xml:space="preserve">Alignment Score (1–5): </w:t>
      </w:r>
      <w:r>
        <w:t xml:space="preserve">How closely does the company’s giving focus match your mission?</w:t>
      </w:r>
    </w:p>
    <w:p>
      <w:pPr>
        <w:spacing w:after="120"/>
      </w:pPr>
      <w:r>
        <w:rPr>
          <w:b/>
          <w:bCs/>
        </w:rPr>
        <w:t xml:space="preserve">Proximity Score (1–5): </w:t>
      </w:r>
      <w:r>
        <w:t xml:space="preserve">How close is their HQ or major office to your campuses?</w:t>
      </w:r>
    </w:p>
    <w:p>
      <w:pPr>
        <w:spacing w:after="120"/>
      </w:pPr>
      <w:r>
        <w:rPr>
          <w:b/>
          <w:bCs/>
        </w:rPr>
        <w:t xml:space="preserve">Capacity Score (1–5): </w:t>
      </w:r>
      <w:r>
        <w:t xml:space="preserve">How large is their giving program? (Check revenue, foundation assets, past grant sizes)</w:t>
      </w:r>
    </w:p>
    <w:p>
      <w:pPr>
        <w:spacing w:after="200"/>
      </w:pPr>
    </w:p>
    <w:p>
      <w:pPr>
        <w:spacing w:after="120"/>
      </w:pPr>
      <w:r>
        <w:t xml:space="preserve">Focus your energy on the top 10–15 highest-scoring prospects first. These offer the best return on your time investment.</w:t>
      </w:r>
    </w:p>
    <w:p>
      <w:pPr>
        <w:pStyle w:val="Heading2"/>
      </w:pPr>
      <w:r>
        <w:t xml:space="preserve">Step 3: Identify the Right Contact</w:t>
      </w:r>
    </w:p>
    <w:p>
      <w:pPr>
        <w:spacing w:after="120"/>
      </w:pPr>
      <w:r>
        <w:t xml:space="preserve">Finding the right person is critical. A cold email to the CEO will go nowhere. Target these roles:</w:t>
      </w:r>
    </w:p>
    <w:p>
      <w:pPr>
        <w:pStyle w:val="ListParagraph"/>
        <w:numPr>
          <w:ilvl w:val="0"/>
          <w:numId w:val="2"/>
        </w:numPr>
        <w:spacing w:after="80"/>
      </w:pPr>
      <w:r>
        <w:t xml:space="preserve">Community Affairs Manager / Director</w:t>
      </w:r>
    </w:p>
    <w:p>
      <w:pPr>
        <w:pStyle w:val="ListParagraph"/>
        <w:numPr>
          <w:ilvl w:val="0"/>
          <w:numId w:val="2"/>
        </w:numPr>
        <w:spacing w:after="80"/>
      </w:pPr>
      <w:r>
        <w:t xml:space="preserve">Corporate Social Responsibility (CSR) Manager</w:t>
      </w:r>
    </w:p>
    <w:p>
      <w:pPr>
        <w:pStyle w:val="ListParagraph"/>
        <w:numPr>
          <w:ilvl w:val="0"/>
          <w:numId w:val="2"/>
        </w:numPr>
        <w:spacing w:after="80"/>
      </w:pPr>
      <w:r>
        <w:t xml:space="preserve">Foundation Program Officer (if the company has a foundation)</w:t>
      </w:r>
    </w:p>
    <w:p>
      <w:pPr>
        <w:pStyle w:val="ListParagraph"/>
        <w:numPr>
          <w:ilvl w:val="0"/>
          <w:numId w:val="2"/>
        </w:numPr>
        <w:spacing w:after="80"/>
      </w:pPr>
      <w:r>
        <w:t xml:space="preserve">Employee Engagement or Volunteer Program Manager</w:t>
      </w:r>
    </w:p>
    <w:p>
      <w:pPr>
        <w:pStyle w:val="ListParagraph"/>
        <w:numPr>
          <w:ilvl w:val="0"/>
          <w:numId w:val="2"/>
        </w:numPr>
        <w:spacing w:after="80"/>
      </w:pPr>
      <w:r>
        <w:t xml:space="preserve">If none of the above exist, try the VP of Marketing or HR Director</w:t>
      </w:r>
    </w:p>
    <w:p>
      <w:pPr>
        <w:spacing w:after="200"/>
      </w:pPr>
    </w:p>
    <w:p>
      <w:pPr>
        <w:spacing w:after="120"/>
      </w:pPr>
      <w:r>
        <w:rPr>
          <w:b/>
          <w:bCs/>
        </w:rPr>
        <w:t xml:space="preserve">How to find them: </w:t>
      </w:r>
      <w:r>
        <w:t xml:space="preserve">LinkedIn is your best tool. Search “[Company Name] community” or “[Company Name] foundation.” Check the company’s foundation website for staff listings. Ask your board and volunteers if they have connections.</w:t>
      </w:r>
    </w:p>
    <w:p>
      <w:pPr>
        <w:pStyle w:val="Heading2"/>
      </w:pPr>
      <w:r>
        <w:t xml:space="preserve">Step 4: Initial Outreach</w:t>
      </w:r>
    </w:p>
    <w:p>
      <w:pPr>
        <w:spacing w:after="120"/>
      </w:pPr>
      <w:r>
        <w:t xml:space="preserve">Your first touch should be warm, brief, and focused on the company’s interests – not yours. Use the email templates provided later in this playbook.</w:t>
      </w:r>
    </w:p>
    <w:p>
      <w:pPr>
        <w:spacing w:after="120"/>
      </w:pPr>
      <w:r>
        <w:rPr>
          <w:b/>
          <w:bCs/>
        </w:rPr>
        <w:t xml:space="preserve">Key principles:</w:t>
      </w:r>
      <w:r>
        <w:t xml:space="preserve"/>
      </w:r>
    </w:p>
    <w:p>
      <w:pPr>
        <w:pStyle w:val="ListParagraph"/>
        <w:numPr>
          <w:ilvl w:val="0"/>
          <w:numId w:val="9"/>
        </w:numPr>
        <w:spacing w:after="80"/>
      </w:pPr>
      <w:r>
        <w:t xml:space="preserve">Keep it under 150 words. Busy people skim.</w:t>
      </w:r>
    </w:p>
    <w:p>
      <w:pPr>
        <w:pStyle w:val="ListParagraph"/>
        <w:numPr>
          <w:ilvl w:val="0"/>
          <w:numId w:val="9"/>
        </w:numPr>
        <w:spacing w:after="80"/>
      </w:pPr>
      <w:r>
        <w:t xml:space="preserve">Lead with what’s in it for them: community impact near their HQ, employee engagement opportunity, positive PR.</w:t>
      </w:r>
    </w:p>
    <w:p>
      <w:pPr>
        <w:pStyle w:val="ListParagraph"/>
        <w:numPr>
          <w:ilvl w:val="0"/>
          <w:numId w:val="9"/>
        </w:numPr>
        <w:spacing w:after="80"/>
      </w:pPr>
      <w:r>
        <w:t xml:space="preserve">Include one specific data point: “1 in 3 community college students in our district experiences food insecurity.”</w:t>
      </w:r>
    </w:p>
    <w:p>
      <w:pPr>
        <w:pStyle w:val="ListParagraph"/>
        <w:numPr>
          <w:ilvl w:val="0"/>
          <w:numId w:val="9"/>
        </w:numPr>
        <w:spacing w:after="80"/>
      </w:pPr>
      <w:r>
        <w:t xml:space="preserve">Make a clear, low-commitment ask: a 20-minute introductory call, not a $50,000 grant.</w:t>
      </w:r>
    </w:p>
    <w:p>
      <w:pPr>
        <w:pStyle w:val="ListParagraph"/>
        <w:numPr>
          <w:ilvl w:val="0"/>
          <w:numId w:val="9"/>
        </w:numPr>
        <w:spacing w:after="80"/>
      </w:pPr>
      <w:r>
        <w:t xml:space="preserve">Follow up exactly once, 5–7 business days later, if no response.</w:t>
      </w:r>
    </w:p>
    <w:p>
      <w:pPr>
        <w:pStyle w:val="Heading2"/>
      </w:pPr>
      <w:r>
        <w:t xml:space="preserve">Step 5: The Discovery Meeting</w:t>
      </w:r>
    </w:p>
    <w:p>
      <w:pPr>
        <w:spacing w:after="120"/>
      </w:pPr>
      <w:r>
        <w:t xml:space="preserve">If they agree to a call or meeting, your goal is to listen more than talk. Aim for an 80/20 split – 80% listening, 20% talking. This meeting is about understanding their priorities so you can tailor your proposal.</w:t>
      </w:r>
    </w:p>
    <w:p>
      <w:pPr>
        <w:spacing w:after="120"/>
      </w:pPr>
      <w:r>
        <w:rPr>
          <w:b/>
          <w:bCs/>
        </w:rPr>
        <w:t xml:space="preserve">Questions to ask:</w:t>
      </w:r>
      <w:r>
        <w:t xml:space="preserve"/>
      </w:r>
    </w:p>
    <w:p>
      <w:pPr>
        <w:pStyle w:val="ListParagraph"/>
        <w:numPr>
          <w:ilvl w:val="0"/>
          <w:numId w:val="10"/>
        </w:numPr>
        <w:spacing w:after="80"/>
      </w:pPr>
      <w:r>
        <w:t xml:space="preserve">What are the key focus areas for your community giving this year?</w:t>
      </w:r>
    </w:p>
    <w:p>
      <w:pPr>
        <w:pStyle w:val="ListParagraph"/>
        <w:numPr>
          <w:ilvl w:val="0"/>
          <w:numId w:val="10"/>
        </w:numPr>
        <w:spacing w:after="80"/>
      </w:pPr>
      <w:r>
        <w:t xml:space="preserve">How do you typically evaluate nonprofit partnerships? What matters most?</w:t>
      </w:r>
    </w:p>
    <w:p>
      <w:pPr>
        <w:pStyle w:val="ListParagraph"/>
        <w:numPr>
          <w:ilvl w:val="0"/>
          <w:numId w:val="10"/>
        </w:numPr>
        <w:spacing w:after="80"/>
      </w:pPr>
      <w:r>
        <w:t xml:space="preserve">Are there specific geographies or populations you’re looking to impact?</w:t>
      </w:r>
    </w:p>
    <w:p>
      <w:pPr>
        <w:pStyle w:val="ListParagraph"/>
        <w:numPr>
          <w:ilvl w:val="0"/>
          <w:numId w:val="10"/>
        </w:numPr>
        <w:spacing w:after="80"/>
      </w:pPr>
      <w:r>
        <w:t xml:space="preserve">What does a successful partnership look like from your perspective?</w:t>
      </w:r>
    </w:p>
    <w:p>
      <w:pPr>
        <w:pStyle w:val="ListParagraph"/>
        <w:numPr>
          <w:ilvl w:val="0"/>
          <w:numId w:val="10"/>
        </w:numPr>
        <w:spacing w:after="80"/>
      </w:pPr>
      <w:r>
        <w:t xml:space="preserve">What is your typical timeline for funding decisions?</w:t>
      </w:r>
    </w:p>
    <w:p>
      <w:pPr>
        <w:spacing w:after="200"/>
      </w:pPr>
    </w:p>
    <w:p>
      <w:pPr>
        <w:spacing w:after="120"/>
      </w:pPr>
      <w:r>
        <w:t xml:space="preserve">After the meeting, send a thank-you email within 24 hours referencing specific things they said.</w:t>
      </w:r>
    </w:p>
    <w:p>
      <w:pPr>
        <w:pStyle w:val="Heading2"/>
      </w:pPr>
      <w:r>
        <w:t xml:space="preserve">Step 6: The Proposal</w:t>
      </w:r>
    </w:p>
    <w:p>
      <w:pPr>
        <w:spacing w:after="120"/>
      </w:pPr>
      <w:r>
        <w:t xml:space="preserve">Based on what you learned in the discovery meeting, craft a tailored proposal or complete the company’s grant application. Your proposal should include:</w:t>
      </w:r>
    </w:p>
    <w:p>
      <w:pPr>
        <w:pStyle w:val="ListParagraph"/>
        <w:numPr>
          <w:ilvl w:val="0"/>
          <w:numId w:val="3"/>
        </w:numPr>
        <w:spacing w:after="80"/>
      </w:pPr>
      <w:r>
        <w:t xml:space="preserve">Executive summary (1 paragraph): Who you are, what you do, what you’re requesting</w:t>
      </w:r>
    </w:p>
    <w:p>
      <w:pPr>
        <w:pStyle w:val="ListParagraph"/>
        <w:numPr>
          <w:ilvl w:val="0"/>
          <w:numId w:val="3"/>
        </w:numPr>
        <w:spacing w:after="80"/>
      </w:pPr>
      <w:r>
        <w:t xml:space="preserve">The problem: Food insecurity among community college students (use local data)</w:t>
      </w:r>
    </w:p>
    <w:p>
      <w:pPr>
        <w:pStyle w:val="ListParagraph"/>
        <w:numPr>
          <w:ilvl w:val="0"/>
          <w:numId w:val="3"/>
        </w:numPr>
        <w:spacing w:after="80"/>
      </w:pPr>
      <w:r>
        <w:t xml:space="preserve">Your solution: Specific programs – food pantries, meal programs, emergency food support at De Anza, Foothill, and Chabot</w:t>
      </w:r>
    </w:p>
    <w:p>
      <w:pPr>
        <w:pStyle w:val="ListParagraph"/>
        <w:numPr>
          <w:ilvl w:val="0"/>
          <w:numId w:val="3"/>
        </w:numPr>
        <w:spacing w:after="80"/>
      </w:pPr>
      <w:r>
        <w:t xml:space="preserve">Impact data: Students served, meals distributed, program outcomes</w:t>
      </w:r>
    </w:p>
    <w:p>
      <w:pPr>
        <w:pStyle w:val="ListParagraph"/>
        <w:numPr>
          <w:ilvl w:val="0"/>
          <w:numId w:val="3"/>
        </w:numPr>
        <w:spacing w:after="80"/>
      </w:pPr>
      <w:r>
        <w:t xml:space="preserve">The ask: Specific dollar amount tied to specific deliverables</w:t>
      </w:r>
    </w:p>
    <w:p>
      <w:pPr>
        <w:pStyle w:val="ListParagraph"/>
        <w:numPr>
          <w:ilvl w:val="0"/>
          <w:numId w:val="3"/>
        </w:numPr>
        <w:spacing w:after="80"/>
      </w:pPr>
      <w:r>
        <w:t xml:space="preserve">What they get: Recognition, volunteer opportunities, impact reports, community visibility</w:t>
      </w:r>
    </w:p>
    <w:p>
      <w:pPr>
        <w:pStyle w:val="ListParagraph"/>
        <w:numPr>
          <w:ilvl w:val="0"/>
          <w:numId w:val="3"/>
        </w:numPr>
        <w:spacing w:after="80"/>
      </w:pPr>
      <w:r>
        <w:t xml:space="preserve">Budget: Line-item budget showing exactly how funds will be used</w:t>
      </w:r>
    </w:p>
    <w:p>
      <w:pPr>
        <w:pStyle w:val="Heading2"/>
      </w:pPr>
      <w:r>
        <w:t xml:space="preserve">Step 7: Stewardship and Renewal</w:t>
      </w:r>
    </w:p>
    <w:p>
      <w:pPr>
        <w:spacing w:after="120"/>
      </w:pPr>
      <w:r>
        <w:t xml:space="preserve">Securing the first gift is only the beginning. Retaining corporate donors year over year is far more efficient than finding new ones. A strong stewardship plan is the key to renewals and upgrades.</w:t>
      </w:r>
    </w:p>
    <w:p>
      <w:pPr>
        <w:pStyle w:val="ListParagraph"/>
        <w:numPr>
          <w:ilvl w:val="0"/>
          <w:numId w:val="4"/>
        </w:numPr>
        <w:spacing w:after="80"/>
      </w:pPr>
      <w:r>
        <w:t xml:space="preserve">Send a formal thank-you letter within 48 hours of receiving the gift</w:t>
      </w:r>
    </w:p>
    <w:p>
      <w:pPr>
        <w:pStyle w:val="ListParagraph"/>
        <w:numPr>
          <w:ilvl w:val="0"/>
          <w:numId w:val="4"/>
        </w:numPr>
        <w:spacing w:after="80"/>
      </w:pPr>
      <w:r>
        <w:t xml:space="preserve">Provide quarterly impact updates with photos, student stories, and data</w:t>
      </w:r>
    </w:p>
    <w:p>
      <w:pPr>
        <w:pStyle w:val="ListParagraph"/>
        <w:numPr>
          <w:ilvl w:val="0"/>
          <w:numId w:val="4"/>
        </w:numPr>
        <w:spacing w:after="80"/>
      </w:pPr>
      <w:r>
        <w:t xml:space="preserve">Invite corporate contacts to campus events and food distributions</w:t>
      </w:r>
    </w:p>
    <w:p>
      <w:pPr>
        <w:pStyle w:val="ListParagraph"/>
        <w:numPr>
          <w:ilvl w:val="0"/>
          <w:numId w:val="4"/>
        </w:numPr>
        <w:spacing w:after="80"/>
      </w:pPr>
      <w:r>
        <w:t xml:space="preserve">Offer employee volunteer opportunities at your food pantries</w:t>
      </w:r>
    </w:p>
    <w:p>
      <w:pPr>
        <w:pStyle w:val="ListParagraph"/>
        <w:numPr>
          <w:ilvl w:val="0"/>
          <w:numId w:val="4"/>
        </w:numPr>
        <w:spacing w:after="80"/>
      </w:pPr>
      <w:r>
        <w:t xml:space="preserve">Deliver a year-end impact report showing how their dollars were spent and what was achieved</w:t>
      </w:r>
    </w:p>
    <w:p>
      <w:pPr>
        <w:pStyle w:val="ListParagraph"/>
        <w:numPr>
          <w:ilvl w:val="0"/>
          <w:numId w:val="4"/>
        </w:numPr>
        <w:spacing w:after="80"/>
      </w:pPr>
      <w:r>
        <w:t xml:space="preserve">Begin renewal conversations 2–3 months before the grant period ends</w:t>
      </w:r>
    </w:p>
    <w:p>
      <w:r>
        <w:br w:type="page"/>
      </w:r>
    </w:p>
    <w:p>
      <w:pPr>
        <w:pStyle w:val="Heading1"/>
      </w:pPr>
      <w:r>
        <w:t xml:space="preserve">Section 4: Outreach Templates</w:t>
      </w:r>
    </w:p>
    <w:p>
      <w:pPr>
        <w:pStyle w:val="Heading2"/>
      </w:pPr>
      <w:r>
        <w:t xml:space="preserve">Template 1: Initial Cold Outreach Email</w:t>
      </w:r>
    </w:p>
    <w:p>
      <w:pPr>
        <w:pBdr>
          <w:left w:val="single" w:color="2E75B6" w:sz="12" w:space="8"/>
        </w:pBdr>
        <w:spacing w:after="60"/>
        <w:ind w:left="200"/>
      </w:pPr>
      <w:r>
        <w:rPr>
          <w:i/>
          <w:iCs/>
          <w:color w:val="555555"/>
        </w:rPr>
        <w:t xml:space="preserve">Subject: Addressing Student Hunger Near [Company Name]’s Cupertino Campus</w:t>
      </w:r>
    </w:p>
    <w:p>
      <w:pPr>
        <w:spacing w:after="200"/>
      </w:pPr>
    </w:p>
    <w:p>
      <w:pPr>
        <w:spacing w:after="60"/>
        <w:ind w:left="200"/>
      </w:pPr>
      <w:r>
        <w:t xml:space="preserve">Dear [First Name],</w:t>
      </w:r>
    </w:p>
    <w:p>
      <w:pPr>
        <w:spacing w:after="100"/>
        <w:ind w:left="200"/>
      </w:pPr>
      <w:r>
        <w:t xml:space="preserve">I’m reaching out because [Company Name] has demonstrated a strong commitment to [specific focus area from their website], and we’re doing work right in your backyard that aligns with that mission.</w:t>
      </w:r>
    </w:p>
    <w:p>
      <w:pPr>
        <w:spacing w:after="100"/>
        <w:ind w:left="200"/>
      </w:pPr>
      <w:r>
        <w:t xml:space="preserve">World Food Movement operates food security programs at De Anza College, Foothill College, and Chabot College – all within a few miles of your [headquarters/offices]. One in three community college students in our district reports experiencing food insecurity, and we’re working to change that.</w:t>
      </w:r>
    </w:p>
    <w:p>
      <w:pPr>
        <w:spacing w:after="100"/>
        <w:ind w:left="200"/>
      </w:pPr>
      <w:r>
        <w:t xml:space="preserve">I’d love to share more about how a partnership could create meaningful, visible impact in your community. Would you have 20 minutes for a brief introductory call in the next two weeks?</w:t>
      </w:r>
    </w:p>
    <w:p>
      <w:pPr>
        <w:spacing w:after="100"/>
        <w:ind w:left="200"/>
      </w:pPr>
      <w:r>
        <w:t xml:space="preserve">Thank you for your time and your company’s commitment to [focus area].</w:t>
      </w:r>
    </w:p>
    <w:p>
      <w:pPr>
        <w:spacing w:after="200"/>
        <w:ind w:left="200"/>
      </w:pPr>
      <w:r>
        <w:t xml:space="preserve">Best regards,</w:t>
      </w:r>
      <w:r>
        <w:br/>
        <w:t xml:space="preserve">
[Your Name]
[Title] | World Food Movement, California Chapter
[Email] | [Phone]</w:t>
      </w:r>
    </w:p>
    <w:p>
      <w:pPr>
        <w:pStyle w:val="Heading2"/>
      </w:pPr>
      <w:r>
        <w:t xml:space="preserve">Template 2: Follow-Up Email (5–7 Days After Initial Outreach)</w:t>
      </w:r>
    </w:p>
    <w:p>
      <w:pPr>
        <w:pBdr>
          <w:left w:val="single" w:color="2E75B6" w:sz="12" w:space="8"/>
        </w:pBdr>
        <w:spacing w:after="60"/>
        <w:ind w:left="200"/>
      </w:pPr>
      <w:r>
        <w:rPr>
          <w:i/>
          <w:iCs/>
          <w:color w:val="555555"/>
        </w:rPr>
        <w:t xml:space="preserve">Subject: Re: Addressing Student Hunger Near [Company Name]’s Cupertino Campus</w:t>
      </w:r>
    </w:p>
    <w:p>
      <w:pPr>
        <w:spacing w:after="200"/>
      </w:pPr>
    </w:p>
    <w:p>
      <w:pPr>
        <w:spacing w:after="60"/>
        <w:ind w:left="200"/>
      </w:pPr>
      <w:r>
        <w:t xml:space="preserve">Hi [First Name],</w:t>
      </w:r>
    </w:p>
    <w:p>
      <w:pPr>
        <w:spacing w:after="100"/>
        <w:ind w:left="200"/>
      </w:pPr>
      <w:r>
        <w:t xml:space="preserve">I wanted to follow up on my note from last week. I know you’re busy, so I’ll keep this brief.</w:t>
      </w:r>
    </w:p>
    <w:p>
      <w:pPr>
        <w:spacing w:after="100"/>
        <w:ind w:left="200"/>
      </w:pPr>
      <w:r>
        <w:t xml:space="preserve">Last month, our food pantries at De Anza and Foothill served [X] students – many of whom are first-generation college students working to build better futures. We’re seeing growing demand and are looking for partners who care about this community as much as we do.</w:t>
      </w:r>
    </w:p>
    <w:p>
      <w:pPr>
        <w:spacing w:after="100"/>
        <w:ind w:left="200"/>
      </w:pPr>
      <w:r>
        <w:t xml:space="preserve">Would [suggest two specific dates/times] work for a quick call?</w:t>
      </w:r>
    </w:p>
    <w:p>
      <w:pPr>
        <w:spacing w:after="200"/>
        <w:ind w:left="200"/>
      </w:pPr>
      <w:r>
        <w:t xml:space="preserve">Thank you,</w:t>
      </w:r>
      <w:r>
        <w:br/>
        <w:t xml:space="preserve">
[Your Name]</w:t>
      </w:r>
    </w:p>
    <w:p>
      <w:pPr>
        <w:pStyle w:val="Heading2"/>
      </w:pPr>
      <w:r>
        <w:t xml:space="preserve">Template 3: Post-Meeting Thank You</w:t>
      </w:r>
    </w:p>
    <w:p>
      <w:pPr>
        <w:pBdr>
          <w:left w:val="single" w:color="2E75B6" w:sz="12" w:space="8"/>
        </w:pBdr>
        <w:spacing w:after="60"/>
        <w:ind w:left="200"/>
      </w:pPr>
      <w:r>
        <w:rPr>
          <w:i/>
          <w:iCs/>
          <w:color w:val="555555"/>
        </w:rPr>
        <w:t xml:space="preserve">Subject: Great Speaking with You – Next Steps for WFM Partnership</w:t>
      </w:r>
    </w:p>
    <w:p>
      <w:pPr>
        <w:spacing w:after="200"/>
      </w:pPr>
    </w:p>
    <w:p>
      <w:pPr>
        <w:spacing w:after="60"/>
        <w:ind w:left="200"/>
      </w:pPr>
      <w:r>
        <w:t xml:space="preserve">Dear [First Name],</w:t>
      </w:r>
    </w:p>
    <w:p>
      <w:pPr>
        <w:spacing w:after="100"/>
        <w:ind w:left="200"/>
      </w:pPr>
      <w:r>
        <w:t xml:space="preserve">Thank you for taking the time to meet with me today. I especially appreciated learning about [specific thing they shared – e.g., their focus on educational equity / their employee volunteer program].</w:t>
      </w:r>
    </w:p>
    <w:p>
      <w:pPr>
        <w:spacing w:after="100"/>
        <w:ind w:left="200"/>
      </w:pPr>
      <w:r>
        <w:t xml:space="preserve">Based on our conversation, I believe there’s a strong fit between [Company Name]’s priorities and our work addressing food insecurity among community college students in the Bay Area.</w:t>
      </w:r>
    </w:p>
    <w:p>
      <w:pPr>
        <w:spacing w:after="100"/>
        <w:ind w:left="200"/>
      </w:pPr>
      <w:r>
        <w:t xml:space="preserve">As discussed, I’ll follow up with [specific next step – e.g., a proposal, a campus visit invitation, grant application details] by [specific date].</w:t>
      </w:r>
    </w:p>
    <w:p>
      <w:pPr>
        <w:spacing w:after="200"/>
        <w:ind w:left="200"/>
      </w:pPr>
      <w:r>
        <w:t xml:space="preserve">Looking forward to exploring this partnership further.</w:t>
      </w:r>
      <w:r>
        <w:br/>
        <w:t xml:space="preserve">
Warm regards,
[Your Name]</w:t>
      </w:r>
    </w:p>
    <w:p>
      <w:r>
        <w:br w:type="page"/>
      </w:r>
    </w:p>
    <w:p>
      <w:pPr>
        <w:pStyle w:val="Heading1"/>
      </w:pPr>
      <w:r>
        <w:t xml:space="preserve">Section 5: Key Metrics and Talking Points</w:t>
      </w:r>
    </w:p>
    <w:p>
      <w:pPr>
        <w:spacing w:after="120"/>
      </w:pPr>
      <w:r>
        <w:t xml:space="preserve">Before you start outreach, arm yourself with compelling data. Corporate funders respond to numbers and stories. You should be able to speak fluently about these at all times:</w:t>
      </w:r>
    </w:p>
    <w:p>
      <w:pPr>
        <w:pStyle w:val="Heading2"/>
      </w:pPr>
      <w:r>
        <w:t xml:space="preserve">Data Points to Gather and Keep Updated</w:t>
      </w:r>
    </w:p>
    <w:p>
      <w:pPr>
        <w:pStyle w:val="ListParagraph"/>
        <w:numPr>
          <w:ilvl w:val="0"/>
          <w:numId w:val="5"/>
        </w:numPr>
        <w:spacing w:after="80"/>
      </w:pPr>
      <w:r>
        <w:t xml:space="preserve">Number of students served per semester/year at each campus</w:t>
      </w:r>
    </w:p>
    <w:p>
      <w:pPr>
        <w:pStyle w:val="ListParagraph"/>
        <w:numPr>
          <w:ilvl w:val="0"/>
          <w:numId w:val="5"/>
        </w:numPr>
        <w:spacing w:after="80"/>
      </w:pPr>
      <w:r>
        <w:t xml:space="preserve">Meals or food packages distributed per month</w:t>
      </w:r>
    </w:p>
    <w:p>
      <w:pPr>
        <w:pStyle w:val="ListParagraph"/>
        <w:numPr>
          <w:ilvl w:val="0"/>
          <w:numId w:val="5"/>
        </w:numPr>
        <w:spacing w:after="80"/>
      </w:pPr>
      <w:r>
        <w:t xml:space="preserve">Food insecurity rates among community college students (national data: approximately 33%)</w:t>
      </w:r>
    </w:p>
    <w:p>
      <w:pPr>
        <w:pStyle w:val="ListParagraph"/>
        <w:numPr>
          <w:ilvl w:val="0"/>
          <w:numId w:val="5"/>
        </w:numPr>
        <w:spacing w:after="80"/>
      </w:pPr>
      <w:r>
        <w:t xml:space="preserve">Student demographics: percentage who are first-generation, working, or supporting families</w:t>
      </w:r>
    </w:p>
    <w:p>
      <w:pPr>
        <w:pStyle w:val="ListParagraph"/>
        <w:numPr>
          <w:ilvl w:val="0"/>
          <w:numId w:val="5"/>
        </w:numPr>
        <w:spacing w:after="80"/>
      </w:pPr>
      <w:r>
        <w:t xml:space="preserve">Student success outcomes: retention rates, GPA improvements (if tracked) among students using food programs</w:t>
      </w:r>
    </w:p>
    <w:p>
      <w:pPr>
        <w:pStyle w:val="ListParagraph"/>
        <w:numPr>
          <w:ilvl w:val="0"/>
          <w:numId w:val="5"/>
        </w:numPr>
        <w:spacing w:after="80"/>
      </w:pPr>
      <w:r>
        <w:t xml:space="preserve">Cost per student served (demonstrates efficiency)</w:t>
      </w:r>
    </w:p>
    <w:p>
      <w:pPr>
        <w:pStyle w:val="ListParagraph"/>
        <w:numPr>
          <w:ilvl w:val="0"/>
          <w:numId w:val="5"/>
        </w:numPr>
        <w:spacing w:after="80"/>
      </w:pPr>
      <w:r>
        <w:t xml:space="preserve">Year-over-year growth in demand (shows the scale of the need)</w:t>
      </w:r>
    </w:p>
    <w:p>
      <w:pPr>
        <w:pStyle w:val="Heading2"/>
      </w:pPr>
      <w:r>
        <w:t xml:space="preserve">Sample Talking Points</w:t>
      </w:r>
    </w:p>
    <w:p>
      <w:pPr>
        <w:pBdr>
          <w:left w:val="single" w:color="27AE60" w:sz="12" w:space="8"/>
        </w:pBdr>
        <w:spacing w:after="60"/>
        <w:ind w:left="200"/>
      </w:pPr>
      <w:r>
        <w:rPr>
          <w:i/>
          <w:iCs/>
        </w:rPr>
        <w:t xml:space="preserve">“One in three community college students in California experiences food insecurity. At De Anza, Foothill, and Chabot, we’re making sure that hunger is not the reason a student drops out.”</w:t>
      </w:r>
    </w:p>
    <w:p>
      <w:pPr>
        <w:spacing w:after="200"/>
      </w:pPr>
    </w:p>
    <w:p>
      <w:pPr>
        <w:pBdr>
          <w:left w:val="single" w:color="27AE60" w:sz="12" w:space="8"/>
        </w:pBdr>
        <w:spacing w:after="60"/>
        <w:ind w:left="200"/>
      </w:pPr>
      <w:r>
        <w:rPr>
          <w:i/>
          <w:iCs/>
        </w:rPr>
        <w:t xml:space="preserve">“For [dollar amount], you can feed [number] students for an entire semester. That’s real, measurable impact right here in [city name].”</w:t>
      </w:r>
    </w:p>
    <w:p>
      <w:pPr>
        <w:spacing w:after="200"/>
      </w:pPr>
    </w:p>
    <w:p>
      <w:pPr>
        <w:pBdr>
          <w:left w:val="single" w:color="27AE60" w:sz="12" w:space="8"/>
        </w:pBdr>
        <w:spacing w:after="60"/>
        <w:ind w:left="200"/>
      </w:pPr>
      <w:r>
        <w:rPr>
          <w:i/>
          <w:iCs/>
        </w:rPr>
        <w:t xml:space="preserve">“Your employees and our students share the same community. A partnership with World Food Movement gives [Company Name] a visible, tangible way to give back right where your team lives and works.”</w:t>
      </w:r>
    </w:p>
    <w:p>
      <w:r>
        <w:br w:type="page"/>
      </w:r>
    </w:p>
    <w:p>
      <w:pPr>
        <w:pStyle w:val="Heading1"/>
      </w:pPr>
      <w:r>
        <w:t xml:space="preserve">Section 6: Recommended 90-Day Launch Timeline</w:t>
      </w:r>
    </w:p>
    <w:p>
      <w:pPr>
        <w:spacing w:after="120"/>
      </w:pPr>
      <w:r>
        <w:t xml:space="preserve">Use this as a guide for your first push into corporate fundraising. Adjust based on your capacity and any upcoming grant deadlines.</w:t>
      </w:r>
    </w:p>
    <w:p>
      <w:pPr>
        <w:pStyle w:val="Heading2"/>
      </w:pPr>
      <w:r>
        <w:t xml:space="preserve">Weeks 1–2: Foundation Building</w:t>
      </w:r>
    </w:p>
    <w:p>
      <w:pPr>
        <w:pStyle w:val="ListParagraph"/>
        <w:numPr>
          <w:ilvl w:val="0"/>
          <w:numId w:val="2"/>
        </w:numPr>
        <w:spacing w:after="80"/>
      </w:pPr>
      <w:r>
        <w:t xml:space="preserve">Gather all impact data, financials, and program descriptions</w:t>
      </w:r>
    </w:p>
    <w:p>
      <w:pPr>
        <w:pStyle w:val="ListParagraph"/>
        <w:numPr>
          <w:ilvl w:val="0"/>
          <w:numId w:val="2"/>
        </w:numPr>
        <w:spacing w:after="80"/>
      </w:pPr>
      <w:r>
        <w:t xml:space="preserve">Compile your prospect list of 20–50 companies using the tracker spreadsheet</w:t>
      </w:r>
    </w:p>
    <w:p>
      <w:pPr>
        <w:pStyle w:val="ListParagraph"/>
        <w:numPr>
          <w:ilvl w:val="0"/>
          <w:numId w:val="2"/>
        </w:numPr>
        <w:spacing w:after="80"/>
      </w:pPr>
      <w:r>
        <w:t xml:space="preserve">Research each company’s giving program and identify contacts</w:t>
      </w:r>
    </w:p>
    <w:p>
      <w:pPr>
        <w:pStyle w:val="ListParagraph"/>
        <w:numPr>
          <w:ilvl w:val="0"/>
          <w:numId w:val="2"/>
        </w:numPr>
        <w:spacing w:after="80"/>
      </w:pPr>
      <w:r>
        <w:t xml:space="preserve">Draft and refine your “elevator pitch” (30-second and 2-minute versions)</w:t>
      </w:r>
    </w:p>
    <w:p>
      <w:pPr>
        <w:pStyle w:val="Heading2"/>
      </w:pPr>
      <w:r>
        <w:t xml:space="preserve">Weeks 3–4: Initial Outreach</w:t>
      </w:r>
    </w:p>
    <w:p>
      <w:pPr>
        <w:pStyle w:val="ListParagraph"/>
        <w:numPr>
          <w:ilvl w:val="0"/>
          <w:numId w:val="3"/>
        </w:numPr>
        <w:spacing w:after="80"/>
      </w:pPr>
      <w:r>
        <w:t xml:space="preserve">Send personalized outreach emails to your top 15 prospects</w:t>
      </w:r>
    </w:p>
    <w:p>
      <w:pPr>
        <w:pStyle w:val="ListParagraph"/>
        <w:numPr>
          <w:ilvl w:val="0"/>
          <w:numId w:val="3"/>
        </w:numPr>
        <w:spacing w:after="80"/>
      </w:pPr>
      <w:r>
        <w:t xml:space="preserve">Submit LinkedIn connection requests to key contacts with a brief note</w:t>
      </w:r>
    </w:p>
    <w:p>
      <w:pPr>
        <w:pStyle w:val="ListParagraph"/>
        <w:numPr>
          <w:ilvl w:val="0"/>
          <w:numId w:val="3"/>
        </w:numPr>
        <w:spacing w:after="80"/>
      </w:pPr>
      <w:r>
        <w:t xml:space="preserve">Begin submitting applications for any open corporate foundation grants</w:t>
      </w:r>
    </w:p>
    <w:p>
      <w:pPr>
        <w:pStyle w:val="ListParagraph"/>
        <w:numPr>
          <w:ilvl w:val="0"/>
          <w:numId w:val="3"/>
        </w:numPr>
        <w:spacing w:after="80"/>
      </w:pPr>
      <w:r>
        <w:t xml:space="preserve">Follow up on initial emails after 5–7 business days</w:t>
      </w:r>
    </w:p>
    <w:p>
      <w:pPr>
        <w:pStyle w:val="Heading2"/>
      </w:pPr>
      <w:r>
        <w:t xml:space="preserve">Weeks 5–8: Meetings and Proposals</w:t>
      </w:r>
    </w:p>
    <w:p>
      <w:pPr>
        <w:pStyle w:val="ListParagraph"/>
        <w:numPr>
          <w:ilvl w:val="0"/>
          <w:numId w:val="4"/>
        </w:numPr>
        <w:spacing w:after="80"/>
      </w:pPr>
      <w:r>
        <w:t xml:space="preserve">Conduct discovery meetings with interested prospects</w:t>
      </w:r>
    </w:p>
    <w:p>
      <w:pPr>
        <w:pStyle w:val="ListParagraph"/>
        <w:numPr>
          <w:ilvl w:val="0"/>
          <w:numId w:val="4"/>
        </w:numPr>
        <w:spacing w:after="80"/>
      </w:pPr>
      <w:r>
        <w:t xml:space="preserve">Send thank-you emails and follow up with tailored proposals</w:t>
      </w:r>
    </w:p>
    <w:p>
      <w:pPr>
        <w:pStyle w:val="ListParagraph"/>
        <w:numPr>
          <w:ilvl w:val="0"/>
          <w:numId w:val="4"/>
        </w:numPr>
        <w:spacing w:after="80"/>
      </w:pPr>
      <w:r>
        <w:t xml:space="preserve">Invite corporate contacts to campus visits or food distribution events</w:t>
      </w:r>
    </w:p>
    <w:p>
      <w:pPr>
        <w:pStyle w:val="ListParagraph"/>
        <w:numPr>
          <w:ilvl w:val="0"/>
          <w:numId w:val="4"/>
        </w:numPr>
        <w:spacing w:after="80"/>
      </w:pPr>
      <w:r>
        <w:t xml:space="preserve">Continue outreach to the next batch of prospects</w:t>
      </w:r>
    </w:p>
    <w:p>
      <w:pPr>
        <w:pStyle w:val="Heading2"/>
      </w:pPr>
      <w:r>
        <w:t xml:space="preserve">Weeks 9–12: Follow Through and Expand</w:t>
      </w:r>
    </w:p>
    <w:p>
      <w:pPr>
        <w:pStyle w:val="ListParagraph"/>
        <w:numPr>
          <w:ilvl w:val="0"/>
          <w:numId w:val="5"/>
        </w:numPr>
        <w:spacing w:after="80"/>
      </w:pPr>
      <w:r>
        <w:t xml:space="preserve">Follow up on pending proposals</w:t>
      </w:r>
    </w:p>
    <w:p>
      <w:pPr>
        <w:pStyle w:val="ListParagraph"/>
        <w:numPr>
          <w:ilvl w:val="0"/>
          <w:numId w:val="5"/>
        </w:numPr>
        <w:spacing w:after="80"/>
      </w:pPr>
      <w:r>
        <w:t xml:space="preserve">Secure first commitments and begin stewardship</w:t>
      </w:r>
    </w:p>
    <w:p>
      <w:pPr>
        <w:pStyle w:val="ListParagraph"/>
        <w:numPr>
          <w:ilvl w:val="0"/>
          <w:numId w:val="5"/>
        </w:numPr>
        <w:spacing w:after="80"/>
      </w:pPr>
      <w:r>
        <w:t xml:space="preserve">Evaluate what’s working and refine your approach</w:t>
      </w:r>
    </w:p>
    <w:p>
      <w:pPr>
        <w:pStyle w:val="ListParagraph"/>
        <w:numPr>
          <w:ilvl w:val="0"/>
          <w:numId w:val="5"/>
        </w:numPr>
        <w:spacing w:after="80"/>
      </w:pPr>
      <w:r>
        <w:t xml:space="preserve">Expand your prospect list and begin the next cycle</w:t>
      </w:r>
    </w:p>
    <w:p>
      <w:pPr>
        <w:pStyle w:val="ListParagraph"/>
        <w:numPr>
          <w:ilvl w:val="0"/>
          <w:numId w:val="5"/>
        </w:numPr>
        <w:spacing w:after="80"/>
      </w:pPr>
      <w:r>
        <w:t xml:space="preserve">Set up a regular monthly pipeline review process</w:t>
      </w:r>
    </w:p>
    <w:p>
      <w:pPr>
        <w:spacing w:after="200"/>
      </w:pPr>
    </w:p>
    <w:p>
      <w:pPr>
        <w:spacing w:after="200"/>
      </w:pPr>
    </w:p>
    <w:p>
      <w:pPr>
        <w:pBdr>
          <w:top w:val="single" w:color="2E75B6" w:sz="6" w:space="8"/>
        </w:pBdr>
        <w:spacing w:before="400"/>
        <w:jc w:val="center"/>
      </w:pPr>
      <w:r>
        <w:rPr>
          <w:i/>
          <w:iCs/>
          <w:color w:val="555555"/>
        </w:rPr>
        <w:t xml:space="preserve">You don’t need to be perfect – you need to be persistent. Corporate fundraising is about building relationships over time. Start with your best 10 prospects and go from there.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Corporate Fundraising Playbook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World Food Movement – California Chapter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2026-02-15T13:22:33.317Z</dcterms:created>
  <dcterms:modified xsi:type="dcterms:W3CDTF">2026-02-15T13:22:33.318Z</dcterms:modified>
</cp:coreProperties>
</file>

<file path=docProps/custom.xml><?xml version="1.0" encoding="utf-8"?>
<Properties xmlns="http://schemas.openxmlformats.org/officeDocument/2006/custom-properties" xmlns:vt="http://schemas.openxmlformats.org/officeDocument/2006/docPropsVTypes"/>
</file>