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Loan Default Probability &amp; Statistics Project</w:t>
      </w:r>
    </w:p>
    <w:p>
      <w:r>
        <w:t>Dataset: loan_applications.csv | Records: 5,000</w:t>
      </w:r>
    </w:p>
    <w:p>
      <w:r>
        <w:t>Objective: Explain key statistical concepts and apply Python-based statistical and probability analysis to evaluate loan default risk.</w:t>
      </w:r>
    </w:p>
    <w:p>
      <w:pPr>
        <w:pStyle w:val="Heading1"/>
      </w:pPr>
      <w:r>
        <w:t>Part A – Theory Short Answers</w:t>
      </w:r>
    </w:p>
    <w:p>
      <w:pPr>
        <w:pStyle w:val="Heading2"/>
      </w:pPr>
      <w:r>
        <w:t>1. Mean, Median, Mode</w:t>
      </w:r>
    </w:p>
    <w:p>
      <w:r>
        <w:t>Mean is the average income. Median is the middle income after sorting. Mode is the most frequently occurring income value.</w:t>
      </w:r>
    </w:p>
    <w:p>
      <w:pPr>
        <w:pStyle w:val="Heading2"/>
      </w:pPr>
      <w:r>
        <w:t>2. Standard Deviation vs Variance</w:t>
      </w:r>
    </w:p>
    <w:p>
      <w:r>
        <w:t>Variance is the average squared distance from the mean. Standard deviation is the square root of variance and is expressed in the same unit as the loan amount.</w:t>
      </w:r>
    </w:p>
    <w:p>
      <w:pPr>
        <w:pStyle w:val="Heading2"/>
      </w:pPr>
      <w:r>
        <w:t>3. Random Variable</w:t>
      </w:r>
    </w:p>
    <w:p>
      <w:r>
        <w:t>A random variable assigns a numerical value to an outcome of a random experiment. Example: the loan amount selected from a randomly chosen application.</w:t>
      </w:r>
    </w:p>
    <w:p>
      <w:pPr>
        <w:pStyle w:val="Heading2"/>
      </w:pPr>
      <w:r>
        <w:t>4. Conditional Probability</w:t>
      </w:r>
    </w:p>
    <w:p>
      <w:r>
        <w:t>Conditional probability measures the chance of an event when another event is already known. Example: P(Default | Credit_Score &lt; 600).</w:t>
      </w:r>
    </w:p>
    <w:p>
      <w:pPr>
        <w:pStyle w:val="Heading2"/>
      </w:pPr>
      <w:r>
        <w:t>5. Bayes Theorem</w:t>
      </w:r>
    </w:p>
    <w:p>
      <w:r>
        <w:t>Bayes theorem updates the probability of an event using new evidence: P(A|B) = P(B|A)P(A) / P(B). It can be used to update default risk after observing a customer's credit-score category.</w:t>
      </w:r>
    </w:p>
    <w:p>
      <w:pPr>
        <w:pStyle w:val="Heading2"/>
      </w:pPr>
      <w:r>
        <w:t>6. Empirical vs Theoretical Probability</w:t>
      </w:r>
    </w:p>
    <w:p>
      <w:r>
        <w:t>Empirical probability is calculated from observed data. Theoretical probability is based on a mathematical model or known assumptions.</w:t>
      </w:r>
    </w:p>
    <w:p>
      <w:pPr>
        <w:pStyle w:val="Heading2"/>
      </w:pPr>
      <w:r>
        <w:t>7. Eigenvalues and Eigenvectors</w:t>
      </w:r>
    </w:p>
    <w:p>
      <w:r>
        <w:t>For a square matrix A, an eigenvector v satisfies Av = λv, where λ is the eigenvalue. In data analysis they are useful in PCA to find important directions of variation.</w:t>
      </w:r>
    </w:p>
    <w:p>
      <w:pPr>
        <w:pStyle w:val="Heading2"/>
      </w:pPr>
      <w:r>
        <w:t>8. Eigenvalues and Eigenvectors</w:t>
      </w:r>
    </w:p>
    <w:p>
      <w:r>
        <w:t>For a square matrix A, an eigenvector v satisfies Av = λv, where λ is the eigenvalue. In data analysis, eigenvalues and eigenvectors are important in PCA because they help identify the directions containing the most variation.</w:t>
      </w:r>
    </w:p>
    <w:p>
      <w:pPr>
        <w:pStyle w:val="Heading1"/>
      </w:pPr>
      <w:r>
        <w:t>Part B – Practical Results</w:t>
      </w:r>
    </w:p>
    <w:p>
      <w:pPr>
        <w:pStyle w:val="ListBullet"/>
      </w:pPr>
      <w:r>
        <w:t>Mean income = 99,495.31</w:t>
      </w:r>
    </w:p>
    <w:p>
      <w:pPr>
        <w:pStyle w:val="ListBullet"/>
      </w:pPr>
      <w:r>
        <w:t>Median income = 99,872.00</w:t>
      </w:r>
    </w:p>
    <w:p>
      <w:pPr>
        <w:pStyle w:val="ListBullet"/>
      </w:pPr>
      <w:r>
        <w:t>Mode of income = [19881, 21262, 22042, 27491, 33916, 34766, 38389, 40419, 42502, 46036] (the generated data has several tied modes)</w:t>
      </w:r>
    </w:p>
    <w:p>
      <w:pPr>
        <w:pStyle w:val="ListBullet"/>
      </w:pPr>
      <w:r>
        <w:t>Loan amount range = 94,985</w:t>
      </w:r>
    </w:p>
    <w:p>
      <w:pPr>
        <w:pStyle w:val="ListBullet"/>
      </w:pPr>
      <w:r>
        <w:t>Loan amount variance = 770,847,681.92</w:t>
      </w:r>
    </w:p>
    <w:p>
      <w:pPr>
        <w:pStyle w:val="ListBullet"/>
      </w:pPr>
      <w:r>
        <w:t>Loan amount standard deviation = 27,764.14</w:t>
      </w:r>
    </w:p>
    <w:p>
      <w:pPr>
        <w:pStyle w:val="ListBullet"/>
      </w:pPr>
      <w:r>
        <w:t>P(Default) = 0.2462 (24.62%)</w:t>
      </w:r>
    </w:p>
    <w:p>
      <w:pPr>
        <w:pStyle w:val="ListBullet"/>
      </w:pPr>
      <w:r>
        <w:t>P(Default | Credit Score &lt; 600) = 0.3571 (35.71%)</w:t>
      </w:r>
    </w:p>
    <w:p>
      <w:pPr>
        <w:pStyle w:val="ListBullet"/>
      </w:pPr>
      <w:r>
        <w:t>Loan amount skewness = 0.0039</w:t>
      </w:r>
    </w:p>
    <w:p>
      <w:pPr>
        <w:pStyle w:val="ListBullet"/>
      </w:pPr>
      <w:r>
        <w:t>Loan amount excess kurtosis = -1.2231</w:t>
      </w:r>
    </w:p>
    <w:p>
      <w:pPr>
        <w:pStyle w:val="ListBullet"/>
      </w:pPr>
      <w:r>
        <w:t>Dot product of first two customer vectors = 27,779,754,544</w:t>
      </w:r>
    </w:p>
    <w:p>
      <w:pPr>
        <w:pStyle w:val="ListBullet"/>
      </w:pPr>
      <w:r>
        <w:t>Angle between first two customer vectors = 14.25°</w:t>
      </w:r>
    </w:p>
    <w:p>
      <w:pPr>
        <w:pStyle w:val="Heading2"/>
      </w:pPr>
      <w:r>
        <w:t>Contingency Table: Credit Score vs Default Status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Credit Range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Total</w:t>
            </w:r>
          </w:p>
        </w:tc>
        <w:tc>
          <w:tcPr>
            <w:tcW w:type="dxa" w:w="1728"/>
          </w:tcPr>
          <w:p>
            <w:r>
              <w:t>Default Rate</w:t>
            </w:r>
          </w:p>
        </w:tc>
      </w:tr>
      <w:tr>
        <w:tc>
          <w:tcPr>
            <w:tcW w:type="dxa" w:w="1728"/>
          </w:tcPr>
          <w:p>
            <w:r>
              <w:t>&lt;600</w:t>
            </w:r>
          </w:p>
        </w:tc>
        <w:tc>
          <w:tcPr>
            <w:tcW w:type="dxa" w:w="1728"/>
          </w:tcPr>
          <w:p>
            <w:r>
              <w:t>468</w:t>
            </w:r>
          </w:p>
        </w:tc>
        <w:tc>
          <w:tcPr>
            <w:tcW w:type="dxa" w:w="1728"/>
          </w:tcPr>
          <w:p>
            <w:r>
              <w:t>260</w:t>
            </w:r>
          </w:p>
        </w:tc>
        <w:tc>
          <w:tcPr>
            <w:tcW w:type="dxa" w:w="1728"/>
          </w:tcPr>
          <w:p>
            <w:r>
              <w:t>728</w:t>
            </w:r>
          </w:p>
        </w:tc>
        <w:tc>
          <w:tcPr>
            <w:tcW w:type="dxa" w:w="1728"/>
          </w:tcPr>
          <w:p>
            <w:r>
              <w:t>35.71%</w:t>
            </w:r>
          </w:p>
        </w:tc>
      </w:tr>
      <w:tr>
        <w:tc>
          <w:tcPr>
            <w:tcW w:type="dxa" w:w="1728"/>
          </w:tcPr>
          <w:p>
            <w:r>
              <w:t>600-699</w:t>
            </w:r>
          </w:p>
        </w:tc>
        <w:tc>
          <w:tcPr>
            <w:tcW w:type="dxa" w:w="1728"/>
          </w:tcPr>
          <w:p>
            <w:r>
              <w:t>1688</w:t>
            </w:r>
          </w:p>
        </w:tc>
        <w:tc>
          <w:tcPr>
            <w:tcW w:type="dxa" w:w="1728"/>
          </w:tcPr>
          <w:p>
            <w:r>
              <w:t>600</w:t>
            </w:r>
          </w:p>
        </w:tc>
        <w:tc>
          <w:tcPr>
            <w:tcW w:type="dxa" w:w="1728"/>
          </w:tcPr>
          <w:p>
            <w:r>
              <w:t>2288</w:t>
            </w:r>
          </w:p>
        </w:tc>
        <w:tc>
          <w:tcPr>
            <w:tcW w:type="dxa" w:w="1728"/>
          </w:tcPr>
          <w:p>
            <w:r>
              <w:t>26.22%</w:t>
            </w:r>
          </w:p>
        </w:tc>
      </w:tr>
      <w:tr>
        <w:tc>
          <w:tcPr>
            <w:tcW w:type="dxa" w:w="1728"/>
          </w:tcPr>
          <w:p>
            <w:r>
              <w:t>700-799</w:t>
            </w:r>
          </w:p>
        </w:tc>
        <w:tc>
          <w:tcPr>
            <w:tcW w:type="dxa" w:w="1728"/>
          </w:tcPr>
          <w:p>
            <w:r>
              <w:t>1351</w:t>
            </w:r>
          </w:p>
        </w:tc>
        <w:tc>
          <w:tcPr>
            <w:tcW w:type="dxa" w:w="1728"/>
          </w:tcPr>
          <w:p>
            <w:r>
              <w:t>341</w:t>
            </w:r>
          </w:p>
        </w:tc>
        <w:tc>
          <w:tcPr>
            <w:tcW w:type="dxa" w:w="1728"/>
          </w:tcPr>
          <w:p>
            <w:r>
              <w:t>1692</w:t>
            </w:r>
          </w:p>
        </w:tc>
        <w:tc>
          <w:tcPr>
            <w:tcW w:type="dxa" w:w="1728"/>
          </w:tcPr>
          <w:p>
            <w:r>
              <w:t>20.15%</w:t>
            </w:r>
          </w:p>
        </w:tc>
      </w:tr>
      <w:tr>
        <w:tc>
          <w:tcPr>
            <w:tcW w:type="dxa" w:w="1728"/>
          </w:tcPr>
          <w:p>
            <w:r>
              <w:t>800-850</w:t>
            </w:r>
          </w:p>
        </w:tc>
        <w:tc>
          <w:tcPr>
            <w:tcW w:type="dxa" w:w="1728"/>
          </w:tcPr>
          <w:p>
            <w:r>
              <w:t>262</w:t>
            </w:r>
          </w:p>
        </w:tc>
        <w:tc>
          <w:tcPr>
            <w:tcW w:type="dxa" w:w="1728"/>
          </w:tcPr>
          <w:p>
            <w:r>
              <w:t>30</w:t>
            </w:r>
          </w:p>
        </w:tc>
        <w:tc>
          <w:tcPr>
            <w:tcW w:type="dxa" w:w="1728"/>
          </w:tcPr>
          <w:p>
            <w:r>
              <w:t>292</w:t>
            </w:r>
          </w:p>
        </w:tc>
        <w:tc>
          <w:tcPr>
            <w:tcW w:type="dxa" w:w="1728"/>
          </w:tcPr>
          <w:p>
            <w:r>
              <w:t>10.27%</w:t>
            </w:r>
          </w:p>
        </w:tc>
      </w:tr>
    </w:tbl>
    <w:p>
      <w:pPr>
        <w:pStyle w:val="Heading1"/>
      </w:pPr>
      <w:r>
        <w:t>Visualizations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1496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redit_score_gaussia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4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1496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an_amount_skewness_kurtosi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4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1496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come_qq_plo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4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1496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fault_rate_by_credit_ran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4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Key Insights</w:t>
      </w:r>
    </w:p>
    <w:p>
      <w:pPr>
        <w:pStyle w:val="ListNumber"/>
      </w:pPr>
      <w:r>
        <w:t>The overall default rate is 24.62%, so roughly one in four applications is marked as default.</w:t>
      </w:r>
    </w:p>
    <w:p>
      <w:pPr>
        <w:pStyle w:val="ListNumber"/>
      </w:pPr>
      <w:r>
        <w:t>Applicants with Credit Score &lt; 600 have a 35.71% conditional default probability, which is higher than the overall default rate.</w:t>
      </w:r>
    </w:p>
    <w:p>
      <w:pPr>
        <w:pStyle w:val="ListNumber"/>
      </w:pPr>
      <w:r>
        <w:t>Default rates decline as credit-score category improves, from about 35.7% for scores below 600 to about 10.3% for scores 800–850.</w:t>
      </w:r>
    </w:p>
    <w:p>
      <w:pPr>
        <w:pStyle w:val="ListNumber"/>
      </w:pPr>
      <w:r>
        <w:t>Loan Amount skewness is 0.0039, which is very close to zero and suggests an approximately symmetric distribution.</w:t>
      </w:r>
    </w:p>
    <w:p>
      <w:pPr>
        <w:pStyle w:val="ListNumber"/>
      </w:pPr>
      <w:r>
        <w:t>The Q-Q plot provides a visual check of how closely income follows a normal distribution.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