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C9A96E"/>
          <w:sz w:val="17"/>
          <w:szCs w:val="17"/>
        </w:rPr>
        <w:t xml:space="preserve">✦  AuraCRM AI Sales Assistant</w:t>
      </w:r>
    </w:p>
    <w:p>
      <w:pPr>
        <w:spacing w:after="80"/>
      </w:pPr>
      <w:r>
        <w:rPr>
          <w:rFonts w:ascii="Calibri" w:cs="Calibri" w:eastAsia="Calibri" w:hAnsi="Calibri"/>
          <w:b/>
          <w:bCs/>
          <w:color w:val="1C1A16"/>
          <w:sz w:val="52"/>
          <w:szCs w:val="52"/>
        </w:rPr>
        <w:t xml:space="preserve">Website Acquisition</w:t>
      </w:r>
      <w:r>
        <w:rPr>
          <w:rFonts w:ascii="Calibri" w:cs="Calibri" w:eastAsia="Calibri" w:hAnsi="Calibri"/>
          <w:b w:val="false"/>
          <w:bCs w:val="false"/>
          <w:color w:val="6A5A3A"/>
          <w:sz w:val="52"/>
          <w:szCs w:val="52"/>
        </w:rPr>
        <w:t xml:space="preserve"> – Pricing Proposal</w:t>
      </w:r>
    </w:p>
    <w:p>
      <w:pPr>
        <w:spacing w:after="240"/>
      </w:pPr>
      <w:r>
        <w:rPr>
          <w:rFonts w:ascii="Calibri" w:cs="Calibri" w:eastAsia="Calibri" w:hAnsi="Calibri"/>
          <w:color w:val="7A6A4A"/>
          <w:sz w:val="20"/>
          <w:szCs w:val="20"/>
        </w:rPr>
        <w:t xml:space="preserve">Detailed cost breakdown for acquiring the full platform, source code &amp; IP rights.</w:t>
      </w:r>
    </w:p>
    <w:p>
      <w:pPr>
        <w:spacing w:after="60"/>
      </w:pPr>
      <w:r>
        <w:rPr>
          <w:rFonts w:ascii="Calibri" w:cs="Calibri" w:eastAsia="Calibri" w:hAnsi="Calibri"/>
          <w:b/>
          <w:bCs/>
          <w:color w:val="1C1A16"/>
          <w:sz w:val="19"/>
          <w:szCs w:val="19"/>
        </w:rPr>
        <w:t xml:space="preserve">Prepared by: </w:t>
      </w:r>
      <w:r>
        <w:rPr>
          <w:rFonts w:ascii="Calibri" w:cs="Calibri" w:eastAsia="Calibri" w:hAnsi="Calibri"/>
          <w:color w:val="2C2416"/>
          <w:sz w:val="19"/>
          <w:szCs w:val="19"/>
        </w:rPr>
        <w:t xml:space="preserve">Subhash Kalakota</w:t>
      </w:r>
      <w:r>
        <w:rPr>
          <w:rFonts w:ascii="Calibri" w:cs="Calibri" w:eastAsia="Calibri" w:hAnsi="Calibri"/>
          <w:b/>
          <w:bCs/>
          <w:color w:val="1C1A16"/>
          <w:sz w:val="19"/>
          <w:szCs w:val="19"/>
        </w:rPr>
        <w:t xml:space="preserve">     |     Date: </w:t>
      </w:r>
      <w:r>
        <w:rPr>
          <w:rFonts w:ascii="Calibri" w:cs="Calibri" w:eastAsia="Calibri" w:hAnsi="Calibri"/>
          <w:color w:val="2C2416"/>
          <w:sz w:val="19"/>
          <w:szCs w:val="19"/>
        </w:rPr>
        <w:t xml:space="preserve">2 April 2026</w:t>
      </w:r>
      <w:r>
        <w:rPr>
          <w:rFonts w:ascii="Calibri" w:cs="Calibri" w:eastAsia="Calibri" w:hAnsi="Calibri"/>
          <w:b/>
          <w:bCs/>
          <w:color w:val="1C1A16"/>
          <w:sz w:val="19"/>
          <w:szCs w:val="19"/>
        </w:rPr>
        <w:t xml:space="preserve">     |     Currency: </w:t>
      </w:r>
      <w:r>
        <w:rPr>
          <w:rFonts w:ascii="Calibri" w:cs="Calibri" w:eastAsia="Calibri" w:hAnsi="Calibri"/>
          <w:color w:val="2C2416"/>
          <w:sz w:val="19"/>
          <w:szCs w:val="19"/>
        </w:rPr>
        <w:t xml:space="preserve">Indian Rupees (₹)</w:t>
      </w:r>
      <w:r>
        <w:rPr>
          <w:rFonts w:ascii="Calibri" w:cs="Calibri" w:eastAsia="Calibri" w:hAnsi="Calibri"/>
          <w:b/>
          <w:bCs/>
          <w:color w:val="1C1A16"/>
          <w:sz w:val="19"/>
          <w:szCs w:val="19"/>
        </w:rPr>
        <w:t xml:space="preserve">     |     Type: </w:t>
      </w:r>
      <w:r>
        <w:rPr>
          <w:rFonts w:ascii="Calibri" w:cs="Calibri" w:eastAsia="Calibri" w:hAnsi="Calibri"/>
          <w:color w:val="2C2416"/>
          <w:sz w:val="19"/>
          <w:szCs w:val="19"/>
        </w:rPr>
        <w:t xml:space="preserve">One-Time Acquisition</w:t>
      </w:r>
    </w:p>
    <w:p>
      <w:pPr>
        <w:pBdr>
          <w:bottom w:val="single" w:color="C9A96E" w:sz="8"/>
        </w:pBdr>
        <w:spacing w:after="0"/>
      </w:pPr>
      <w:r>
        <w:t xml:space="preserve"/>
      </w:r>
    </w:p>
    <w:p>
      <w:pPr>
        <w:spacing w:after="260" w:before="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73%"/>
            <w:tcBorders>
              <w:top w:val="none"/>
              <w:left w:val="none"/>
              <w:bottom w:val="single" w:color="DDD5B8" w:sz="4"/>
              <w:right w:val="none"/>
            </w:tcBorders>
            <w:shd w:fill="F0EAD8" w:color="F0EAD8" w:val="solid"/>
            <w:tcMar>
              <w:top w:type="dxa" w:w="80"/>
              <w:left w:type="dxa" w:w="0"/>
              <w:bottom w:type="dxa" w:w="80"/>
              <w:right w:type="dxa" w:w="0"/>
            </w:tcMar>
          </w:tcPr>
          <w:p>
            <w:r>
              <w:rPr>
                <w:rFonts w:ascii="Calibri" w:cs="Calibri" w:eastAsia="Calibri" w:hAnsi="Calibri"/>
                <w:b/>
                <w:bCs/>
                <w:color w:val="8A7A5A"/>
                <w:sz w:val="16"/>
                <w:szCs w:val="16"/>
              </w:rPr>
              <w:t xml:space="preserve">DESCRIPTION</w:t>
            </w:r>
          </w:p>
        </w:tc>
        <w:tc>
          <w:tcPr>
            <w:tcW w:type="pct" w:w="27%"/>
            <w:tcBorders>
              <w:top w:val="none"/>
              <w:left w:val="none"/>
              <w:bottom w:val="single" w:color="DDD5B8" w:sz="4"/>
              <w:right w:val="none"/>
            </w:tcBorders>
            <w:shd w:fill="F0EAD8" w:color="F0EAD8" w:val="solid"/>
            <w:tcMar>
              <w:top w:type="dxa" w:w="80"/>
              <w:left w:type="dxa" w:w="0"/>
              <w:bottom w:type="dxa" w:w="80"/>
              <w:right w:type="dxa" w:w="0"/>
            </w:tcMar>
          </w:tcPr>
          <w:p>
            <w:pPr>
              <w:jc w:val="right"/>
            </w:pPr>
            <w:r>
              <w:rPr>
                <w:rFonts w:ascii="Calibri" w:cs="Calibri" w:eastAsia="Calibri" w:hAnsi="Calibri"/>
                <w:b/>
                <w:bCs/>
                <w:color w:val="8A7A5A"/>
                <w:sz w:val="16"/>
                <w:szCs w:val="16"/>
              </w:rPr>
              <w:t xml:space="preserve">AMOUNT</w:t>
            </w:r>
          </w:p>
        </w:tc>
      </w:tr>
    </w:tbl>
    <w:p>
      <w:pPr>
        <w:spacing w:after="120" w:before="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73%"/>
            <w:tcBorders>
              <w:top w:val="none" w:color="FFFFFF" w:sz="0"/>
              <w:left w:val="none" w:color="FFFFFF" w:sz="0"/>
              <w:bottom w:val="none" w:color="FFFFFF" w:sz="0"/>
              <w:right w:val="none" w:color="FFFFFF" w:sz="0"/>
            </w:tcBorders>
            <w:tcMar>
              <w:top w:type="dxa" w:w="120"/>
              <w:left w:type="dxa" w:w="0"/>
              <w:bottom w:type="dxa" w:w="60"/>
              <w:right w:type="dxa" w:w="0"/>
            </w:tcMar>
          </w:tcPr>
          <w:p>
            <w:r>
              <w:rPr>
                <w:rFonts w:ascii="Calibri" w:cs="Calibri" w:eastAsia="Calibri" w:hAnsi="Calibri"/>
                <w:b/>
                <w:bCs/>
                <w:color w:val="1C1A16"/>
                <w:sz w:val="23"/>
                <w:szCs w:val="23"/>
              </w:rPr>
              <w:t xml:space="preserve">AI Integration &amp; Intelligence Layer</w:t>
            </w:r>
          </w:p>
        </w:tc>
        <w:tc>
          <w:tcPr>
            <w:tcW w:type="pct" w:w="27%"/>
            <w:tcBorders>
              <w:top w:val="none" w:color="FFFFFF" w:sz="0"/>
              <w:left w:val="none" w:color="FFFFFF" w:sz="0"/>
              <w:bottom w:val="none" w:color="FFFFFF" w:sz="0"/>
              <w:right w:val="none" w:color="FFFFFF" w:sz="0"/>
            </w:tcBorders>
            <w:tcMar>
              <w:top w:type="dxa" w:w="120"/>
              <w:left w:type="dxa" w:w="0"/>
              <w:bottom w:type="dxa" w:w="60"/>
              <w:right w:type="dxa" w:w="0"/>
            </w:tcMar>
          </w:tcPr>
          <w:p>
            <w:pPr>
              <w:jc w:val="right"/>
            </w:pPr>
            <w:r>
              <w:rPr>
                <w:rFonts w:ascii="Calibri" w:cs="Calibri" w:eastAsia="Calibri" w:hAnsi="Calibri"/>
                <w:b/>
                <w:bCs/>
                <w:color w:val="1C1A16"/>
                <w:sz w:val="24"/>
                <w:szCs w:val="24"/>
              </w:rPr>
              <w:t xml:space="preserve">₹ 1,20,000</w:t>
            </w:r>
          </w:p>
        </w:tc>
      </w:tr>
      <w:tr>
        <w:tc>
          <w:tcPr>
            <w:gridSpan w:val="2"/>
            <w:tcBorders>
              <w:top w:val="none" w:color="FFFFFF" w:sz="0"/>
              <w:left w:val="none" w:color="FFFFFF" w:sz="0"/>
              <w:bottom w:val="single" w:color="DDD5B8" w:sz="1"/>
              <w:right w:val="none" w:color="FFFFFF" w:sz="0"/>
            </w:tcBorders>
            <w:tcMar>
              <w:top w:type="dxa" w:w="0"/>
              <w:left w:type="dxa" w:w="0"/>
              <w:bottom w:type="dxa" w:w="80"/>
              <w:right w:type="dxa" w:w="0"/>
            </w:tcMar>
          </w:tcPr>
          <w:p>
            <w:r>
              <w:rPr>
                <w:rFonts w:ascii="Calibri" w:cs="Calibri" w:eastAsia="Calibri" w:hAnsi="Calibri"/>
                <w:color w:val="7A6A4A"/>
                <w:sz w:val="19"/>
                <w:szCs w:val="19"/>
              </w:rPr>
              <w:t xml:space="preserve">Core AI brain of the platform — connects to Groq's LLaMA 3.3-70B language model to power smart, real-time sales decisions.</w:t>
            </w:r>
          </w:p>
        </w:tc>
      </w:tr>
      <w:tr>
        <w:tc>
          <w:tcPr>
            <w:gridSpan w:val="2"/>
            <w:tcBorders>
              <w:top w:val="single" w:color="DDD5B8" w:sz="1"/>
              <w:left w:val="single" w:color="C9A96E" w:sz="16"/>
              <w:bottom w:val="single" w:color="DDD5B8" w:sz="4"/>
              <w:right w:val="none" w:color="FFFFFF" w:sz="0"/>
            </w:tcBorders>
            <w:shd w:fill="F5EFE0" w:color="F5EFE0" w:val="solid"/>
            <w:tcMar>
              <w:top w:type="dxa" w:w="100"/>
              <w:left w:type="dxa" w:w="140"/>
              <w:bottom w:type="dxa" w:w="120"/>
              <w:right w:type="dxa" w:w="80"/>
            </w:tcMar>
          </w:tcPr>
          <w:p>
            <w:r>
              <w:rPr>
                <w:rFonts w:ascii="Calibri" w:cs="Calibri" w:eastAsia="Calibri" w:hAnsi="Calibri"/>
                <w:b/>
                <w:bCs/>
                <w:color w:val="4A3A1A"/>
                <w:sz w:val="18"/>
                <w:szCs w:val="18"/>
              </w:rPr>
              <w:t xml:space="preserve">Cost Basis: </w:t>
            </w:r>
            <w:r>
              <w:rPr>
                <w:rFonts w:ascii="Calibri" w:cs="Calibri" w:eastAsia="Calibri" w:hAnsi="Calibri"/>
                <w:color w:val="6A5A3A"/>
                <w:sz w:val="18"/>
                <w:szCs w:val="18"/>
              </w:rPr>
              <w:t xml:space="preserve">Full integration with Groq LLaMA 3.3-70B API. Covers: Deal Predictor (win probability scoring), Opportunity Analyzer (risk flags, recommended next actions), Emotion Analyzer (client sentiment detection from interactions), AI Sales Coach (contextual coaching tips per client profile), and Product Preview Generator. All prompts, model configurations, and API error handling are fully built, tested, and production-ready.</w:t>
            </w:r>
          </w:p>
        </w:tc>
      </w:tr>
    </w:tbl>
    <w:p>
      <w:pPr>
        <w:spacing w:after="160" w:before="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73%"/>
            <w:tcBorders>
              <w:top w:val="none" w:color="FFFFFF" w:sz="0"/>
              <w:left w:val="none" w:color="FFFFFF" w:sz="0"/>
              <w:bottom w:val="none" w:color="FFFFFF" w:sz="0"/>
              <w:right w:val="none" w:color="FFFFFF" w:sz="0"/>
            </w:tcBorders>
            <w:tcMar>
              <w:top w:type="dxa" w:w="120"/>
              <w:left w:type="dxa" w:w="0"/>
              <w:bottom w:type="dxa" w:w="60"/>
              <w:right w:type="dxa" w:w="0"/>
            </w:tcMar>
          </w:tcPr>
          <w:p>
            <w:r>
              <w:rPr>
                <w:rFonts w:ascii="Calibri" w:cs="Calibri" w:eastAsia="Calibri" w:hAnsi="Calibri"/>
                <w:b/>
                <w:bCs/>
                <w:color w:val="1C1A16"/>
                <w:sz w:val="23"/>
                <w:szCs w:val="23"/>
              </w:rPr>
              <w:t xml:space="preserve">AI Chatbot &amp; Voice Assistant</w:t>
            </w:r>
          </w:p>
        </w:tc>
        <w:tc>
          <w:tcPr>
            <w:tcW w:type="pct" w:w="27%"/>
            <w:tcBorders>
              <w:top w:val="none" w:color="FFFFFF" w:sz="0"/>
              <w:left w:val="none" w:color="FFFFFF" w:sz="0"/>
              <w:bottom w:val="none" w:color="FFFFFF" w:sz="0"/>
              <w:right w:val="none" w:color="FFFFFF" w:sz="0"/>
            </w:tcBorders>
            <w:tcMar>
              <w:top w:type="dxa" w:w="120"/>
              <w:left w:type="dxa" w:w="0"/>
              <w:bottom w:type="dxa" w:w="60"/>
              <w:right w:type="dxa" w:w="0"/>
            </w:tcMar>
          </w:tcPr>
          <w:p>
            <w:pPr>
              <w:jc w:val="right"/>
            </w:pPr>
            <w:r>
              <w:rPr>
                <w:rFonts w:ascii="Calibri" w:cs="Calibri" w:eastAsia="Calibri" w:hAnsi="Calibri"/>
                <w:b/>
                <w:bCs/>
                <w:color w:val="1C1A16"/>
                <w:sz w:val="24"/>
                <w:szCs w:val="24"/>
              </w:rPr>
              <w:t xml:space="preserve">₹ 60,000</w:t>
            </w:r>
          </w:p>
        </w:tc>
      </w:tr>
      <w:tr>
        <w:tc>
          <w:tcPr>
            <w:gridSpan w:val="2"/>
            <w:tcBorders>
              <w:top w:val="none" w:color="FFFFFF" w:sz="0"/>
              <w:left w:val="none" w:color="FFFFFF" w:sz="0"/>
              <w:bottom w:val="single" w:color="DDD5B8" w:sz="1"/>
              <w:right w:val="none" w:color="FFFFFF" w:sz="0"/>
            </w:tcBorders>
            <w:tcMar>
              <w:top w:type="dxa" w:w="0"/>
              <w:left w:type="dxa" w:w="0"/>
              <w:bottom w:type="dxa" w:w="80"/>
              <w:right w:type="dxa" w:w="0"/>
            </w:tcMar>
          </w:tcPr>
          <w:p>
            <w:r>
              <w:rPr>
                <w:rFonts w:ascii="Calibri" w:cs="Calibri" w:eastAsia="Calibri" w:hAnsi="Calibri"/>
                <w:color w:val="7A6A4A"/>
                <w:sz w:val="19"/>
                <w:szCs w:val="19"/>
              </w:rPr>
              <w:t xml:space="preserve">Hands-free intelligent assistant — lets users control the entire CRM by speaking or chatting, with AI understanding their intent.</w:t>
            </w:r>
          </w:p>
        </w:tc>
      </w:tr>
      <w:tr>
        <w:tc>
          <w:tcPr>
            <w:gridSpan w:val="2"/>
            <w:tcBorders>
              <w:top w:val="single" w:color="DDD5B8" w:sz="1"/>
              <w:left w:val="single" w:color="C9A96E" w:sz="16"/>
              <w:bottom w:val="single" w:color="DDD5B8" w:sz="4"/>
              <w:right w:val="none" w:color="FFFFFF" w:sz="0"/>
            </w:tcBorders>
            <w:shd w:fill="F5EFE0" w:color="F5EFE0" w:val="solid"/>
            <w:tcMar>
              <w:top w:type="dxa" w:w="100"/>
              <w:left w:type="dxa" w:w="140"/>
              <w:bottom w:type="dxa" w:w="120"/>
              <w:right w:type="dxa" w:w="80"/>
            </w:tcMar>
          </w:tcPr>
          <w:p>
            <w:r>
              <w:rPr>
                <w:rFonts w:ascii="Calibri" w:cs="Calibri" w:eastAsia="Calibri" w:hAnsi="Calibri"/>
                <w:b/>
                <w:bCs/>
                <w:color w:val="4A3A1A"/>
                <w:sz w:val="18"/>
                <w:szCs w:val="18"/>
              </w:rPr>
              <w:t xml:space="preserve">Cost Basis: </w:t>
            </w:r>
            <w:r>
              <w:rPr>
                <w:rFonts w:ascii="Calibri" w:cs="Calibri" w:eastAsia="Calibri" w:hAnsi="Calibri"/>
                <w:color w:val="6A5A3A"/>
                <w:sz w:val="18"/>
                <w:szCs w:val="18"/>
              </w:rPr>
              <w:t xml:space="preserve">Includes the in-platform AI chatbot for quick CRM answers and guided workflows. Also includes the full Voice Assistant module built on the browser's Speech Recognition API — supports 12 distinct voice command types such as 'Open TechNova's proposal', 'Filter at-risk customers', 'Send email to Priya', and 'Switch to dark mode'. Backend intent-classification engine powered by Groq AI. Complete frontend UI with microphone animation, transcript display, and real-time response rendering.</w:t>
            </w:r>
          </w:p>
        </w:tc>
      </w:tr>
    </w:tbl>
    <w:p>
      <w:pPr>
        <w:spacing w:after="160" w:before="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73%"/>
            <w:tcBorders>
              <w:top w:val="none" w:color="FFFFFF" w:sz="0"/>
              <w:left w:val="none" w:color="FFFFFF" w:sz="0"/>
              <w:bottom w:val="none" w:color="FFFFFF" w:sz="0"/>
              <w:right w:val="none" w:color="FFFFFF" w:sz="0"/>
            </w:tcBorders>
            <w:tcMar>
              <w:top w:type="dxa" w:w="120"/>
              <w:left w:type="dxa" w:w="0"/>
              <w:bottom w:type="dxa" w:w="60"/>
              <w:right w:type="dxa" w:w="0"/>
            </w:tcMar>
          </w:tcPr>
          <w:p>
            <w:r>
              <w:rPr>
                <w:rFonts w:ascii="Calibri" w:cs="Calibri" w:eastAsia="Calibri" w:hAnsi="Calibri"/>
                <w:b/>
                <w:bCs/>
                <w:color w:val="1C1A16"/>
                <w:sz w:val="23"/>
                <w:szCs w:val="23"/>
              </w:rPr>
              <w:t xml:space="preserve">Core CRM Features &amp; Modules (13 Modules)</w:t>
            </w:r>
          </w:p>
        </w:tc>
        <w:tc>
          <w:tcPr>
            <w:tcW w:type="pct" w:w="27%"/>
            <w:tcBorders>
              <w:top w:val="none" w:color="FFFFFF" w:sz="0"/>
              <w:left w:val="none" w:color="FFFFFF" w:sz="0"/>
              <w:bottom w:val="none" w:color="FFFFFF" w:sz="0"/>
              <w:right w:val="none" w:color="FFFFFF" w:sz="0"/>
            </w:tcBorders>
            <w:tcMar>
              <w:top w:type="dxa" w:w="120"/>
              <w:left w:type="dxa" w:w="0"/>
              <w:bottom w:type="dxa" w:w="60"/>
              <w:right w:type="dxa" w:w="0"/>
            </w:tcMar>
          </w:tcPr>
          <w:p>
            <w:pPr>
              <w:jc w:val="right"/>
            </w:pPr>
            <w:r>
              <w:rPr>
                <w:rFonts w:ascii="Calibri" w:cs="Calibri" w:eastAsia="Calibri" w:hAnsi="Calibri"/>
                <w:b/>
                <w:bCs/>
                <w:color w:val="1C1A16"/>
                <w:sz w:val="24"/>
                <w:szCs w:val="24"/>
              </w:rPr>
              <w:t xml:space="preserve">₹ 1,50,000</w:t>
            </w:r>
          </w:p>
        </w:tc>
      </w:tr>
      <w:tr>
        <w:tc>
          <w:tcPr>
            <w:gridSpan w:val="2"/>
            <w:tcBorders>
              <w:top w:val="none" w:color="FFFFFF" w:sz="0"/>
              <w:left w:val="none" w:color="FFFFFF" w:sz="0"/>
              <w:bottom w:val="single" w:color="DDD5B8" w:sz="1"/>
              <w:right w:val="none" w:color="FFFFFF" w:sz="0"/>
            </w:tcBorders>
            <w:tcMar>
              <w:top w:type="dxa" w:w="0"/>
              <w:left w:type="dxa" w:w="0"/>
              <w:bottom w:type="dxa" w:w="80"/>
              <w:right w:type="dxa" w:w="0"/>
            </w:tcMar>
          </w:tcPr>
          <w:p>
            <w:r>
              <w:rPr>
                <w:rFonts w:ascii="Calibri" w:cs="Calibri" w:eastAsia="Calibri" w:hAnsi="Calibri"/>
                <w:color w:val="7A6A4A"/>
                <w:sz w:val="19"/>
                <w:szCs w:val="19"/>
              </w:rPr>
              <w:t xml:space="preserve">The complete functional heart of the platform — 13 purpose-built modules covering every stage of the B2B sales lifecycle.</w:t>
            </w:r>
          </w:p>
        </w:tc>
      </w:tr>
      <w:tr>
        <w:tc>
          <w:tcPr>
            <w:gridSpan w:val="2"/>
            <w:tcBorders>
              <w:top w:val="single" w:color="DDD5B8" w:sz="1"/>
              <w:left w:val="single" w:color="C9A96E" w:sz="16"/>
              <w:bottom w:val="single" w:color="DDD5B8" w:sz="4"/>
              <w:right w:val="none" w:color="FFFFFF" w:sz="0"/>
            </w:tcBorders>
            <w:shd w:fill="F5EFE0" w:color="F5EFE0" w:val="solid"/>
            <w:tcMar>
              <w:top w:type="dxa" w:w="100"/>
              <w:left w:type="dxa" w:w="140"/>
              <w:bottom w:type="dxa" w:w="120"/>
              <w:right w:type="dxa" w:w="80"/>
            </w:tcMar>
          </w:tcPr>
          <w:p>
            <w:r>
              <w:rPr>
                <w:rFonts w:ascii="Calibri" w:cs="Calibri" w:eastAsia="Calibri" w:hAnsi="Calibri"/>
                <w:b/>
                <w:bCs/>
                <w:color w:val="4A3A1A"/>
                <w:sz w:val="18"/>
                <w:szCs w:val="18"/>
              </w:rPr>
              <w:t xml:space="preserve">Cost Basis: </w:t>
            </w:r>
            <w:r>
              <w:rPr>
                <w:rFonts w:ascii="Calibri" w:cs="Calibri" w:eastAsia="Calibri" w:hAnsi="Calibri"/>
                <w:color w:val="6A5A3A"/>
                <w:sz w:val="18"/>
                <w:szCs w:val="18"/>
              </w:rPr>
              <w:t xml:space="preserve">1. Sales Insights Engine — live KPIs, revenue forecasts, pipeline health scores.  2. Client Inbox — unified communications hub with AI reply suggestions and full history.  3. Account Summarizer — one-click AI summary of any client account with context.  4. Opportunity Analyzer — win probability scoring and risk flagging per deal.  5. Deal History Tracker — full visual timeline of past closed and open deals.  6. AI Email Generator — 4 tone modes: Professional, Friendly, Urgent, Consultative.  7. Proposal Generator — AI creates client-specific pricing proposals with line items and totals.  8. Deal Predictor — AI prediction of deal close probability and profitability.  9. Emotion Analyzer — detects churn risk accounts using sentiment analysis.  10. AI Sales Coach — contextual objection-handling scripts per client.  11. Smart Scheduler — automated email scheduling with Gmail delivery queue.  12. Relationship Timeline — visual history of every client touchpoint and meeting.  13. Global Schedules View — see all upcoming scheduled emails across all clients in one place.</w:t>
            </w:r>
          </w:p>
        </w:tc>
      </w:tr>
    </w:tbl>
    <w:p>
      <w:pPr>
        <w:spacing w:after="160" w:before="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73%"/>
            <w:tcBorders>
              <w:top w:val="none" w:color="FFFFFF" w:sz="0"/>
              <w:left w:val="none" w:color="FFFFFF" w:sz="0"/>
              <w:bottom w:val="none" w:color="FFFFFF" w:sz="0"/>
              <w:right w:val="none" w:color="FFFFFF" w:sz="0"/>
            </w:tcBorders>
            <w:tcMar>
              <w:top w:type="dxa" w:w="120"/>
              <w:left w:type="dxa" w:w="0"/>
              <w:bottom w:type="dxa" w:w="60"/>
              <w:right w:type="dxa" w:w="0"/>
            </w:tcMar>
          </w:tcPr>
          <w:p>
            <w:r>
              <w:rPr>
                <w:rFonts w:ascii="Calibri" w:cs="Calibri" w:eastAsia="Calibri" w:hAnsi="Calibri"/>
                <w:b/>
                <w:bCs/>
                <w:color w:val="1C1A16"/>
                <w:sz w:val="23"/>
                <w:szCs w:val="23"/>
              </w:rPr>
              <w:t xml:space="preserve">UI/UX Design System &amp; Frontend</w:t>
            </w:r>
          </w:p>
        </w:tc>
        <w:tc>
          <w:tcPr>
            <w:tcW w:type="pct" w:w="27%"/>
            <w:tcBorders>
              <w:top w:val="none" w:color="FFFFFF" w:sz="0"/>
              <w:left w:val="none" w:color="FFFFFF" w:sz="0"/>
              <w:bottom w:val="none" w:color="FFFFFF" w:sz="0"/>
              <w:right w:val="none" w:color="FFFFFF" w:sz="0"/>
            </w:tcBorders>
            <w:tcMar>
              <w:top w:type="dxa" w:w="120"/>
              <w:left w:type="dxa" w:w="0"/>
              <w:bottom w:type="dxa" w:w="60"/>
              <w:right w:type="dxa" w:w="0"/>
            </w:tcMar>
          </w:tcPr>
          <w:p>
            <w:pPr>
              <w:jc w:val="right"/>
            </w:pPr>
            <w:r>
              <w:rPr>
                <w:rFonts w:ascii="Calibri" w:cs="Calibri" w:eastAsia="Calibri" w:hAnsi="Calibri"/>
                <w:b/>
                <w:bCs/>
                <w:color w:val="1C1A16"/>
                <w:sz w:val="24"/>
                <w:szCs w:val="24"/>
              </w:rPr>
              <w:t xml:space="preserve">₹ 80,000</w:t>
            </w:r>
          </w:p>
        </w:tc>
      </w:tr>
      <w:tr>
        <w:tc>
          <w:tcPr>
            <w:gridSpan w:val="2"/>
            <w:tcBorders>
              <w:top w:val="none" w:color="FFFFFF" w:sz="0"/>
              <w:left w:val="none" w:color="FFFFFF" w:sz="0"/>
              <w:bottom w:val="single" w:color="DDD5B8" w:sz="1"/>
              <w:right w:val="none" w:color="FFFFFF" w:sz="0"/>
            </w:tcBorders>
            <w:tcMar>
              <w:top w:type="dxa" w:w="0"/>
              <w:left w:type="dxa" w:w="0"/>
              <w:bottom w:type="dxa" w:w="80"/>
              <w:right w:type="dxa" w:w="0"/>
            </w:tcMar>
          </w:tcPr>
          <w:p>
            <w:r>
              <w:rPr>
                <w:rFonts w:ascii="Calibri" w:cs="Calibri" w:eastAsia="Calibri" w:hAnsi="Calibri"/>
                <w:color w:val="7A6A4A"/>
                <w:sz w:val="19"/>
                <w:szCs w:val="19"/>
              </w:rPr>
              <w:t xml:space="preserve">Premium, modern interface — built with glassmorphism, animated backgrounds, dark/light themes, and 400+ micro-animations.</w:t>
            </w:r>
          </w:p>
        </w:tc>
      </w:tr>
      <w:tr>
        <w:tc>
          <w:tcPr>
            <w:gridSpan w:val="2"/>
            <w:tcBorders>
              <w:top w:val="single" w:color="DDD5B8" w:sz="1"/>
              <w:left w:val="single" w:color="C9A96E" w:sz="16"/>
              <w:bottom w:val="single" w:color="DDD5B8" w:sz="4"/>
              <w:right w:val="none" w:color="FFFFFF" w:sz="0"/>
            </w:tcBorders>
            <w:shd w:fill="F5EFE0" w:color="F5EFE0" w:val="solid"/>
            <w:tcMar>
              <w:top w:type="dxa" w:w="100"/>
              <w:left w:type="dxa" w:w="140"/>
              <w:bottom w:type="dxa" w:w="120"/>
              <w:right w:type="dxa" w:w="80"/>
            </w:tcMar>
          </w:tcPr>
          <w:p>
            <w:r>
              <w:rPr>
                <w:rFonts w:ascii="Calibri" w:cs="Calibri" w:eastAsia="Calibri" w:hAnsi="Calibri"/>
                <w:b/>
                <w:bCs/>
                <w:color w:val="4A3A1A"/>
                <w:sz w:val="18"/>
                <w:szCs w:val="18"/>
              </w:rPr>
              <w:t xml:space="preserve">Cost Basis: </w:t>
            </w:r>
            <w:r>
              <w:rPr>
                <w:rFonts w:ascii="Calibri" w:cs="Calibri" w:eastAsia="Calibri" w:hAnsi="Calibri"/>
                <w:color w:val="6A5A3A"/>
                <w:sz w:val="18"/>
                <w:szCs w:val="18"/>
              </w:rPr>
              <w:t xml:space="preserve">Complete custom design system in Vanilla CSS — no external UI framework, meaning zero ongoing licensing dependencies. Features include: glassmorphism card effects, interactive animated background canvas using HTML5 Canvas, dark/light theme toggle with smooth CSS transitions, 400+ hover effects and micro-animations, fully responsive layout (mobile + desktop), customer lobby with filter tabs and search, sidebar navigation, branded color palette and Google Fonts typography (Inter), toast notification system, and skeleton loaders for all AI data-fetch states.</w:t>
            </w:r>
          </w:p>
        </w:tc>
      </w:tr>
    </w:tbl>
    <w:p>
      <w:pPr>
        <w:spacing w:after="160" w:before="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73%"/>
            <w:tcBorders>
              <w:top w:val="none" w:color="FFFFFF" w:sz="0"/>
              <w:left w:val="none" w:color="FFFFFF" w:sz="0"/>
              <w:bottom w:val="none" w:color="FFFFFF" w:sz="0"/>
              <w:right w:val="none" w:color="FFFFFF" w:sz="0"/>
            </w:tcBorders>
            <w:tcMar>
              <w:top w:type="dxa" w:w="120"/>
              <w:left w:type="dxa" w:w="0"/>
              <w:bottom w:type="dxa" w:w="60"/>
              <w:right w:type="dxa" w:w="0"/>
            </w:tcMar>
          </w:tcPr>
          <w:p>
            <w:r>
              <w:rPr>
                <w:rFonts w:ascii="Calibri" w:cs="Calibri" w:eastAsia="Calibri" w:hAnsi="Calibri"/>
                <w:b/>
                <w:bCs/>
                <w:color w:val="1C1A16"/>
                <w:sz w:val="23"/>
                <w:szCs w:val="23"/>
              </w:rPr>
              <w:t xml:space="preserve">Backend, APIs &amp; Email Infrastructure</w:t>
            </w:r>
          </w:p>
        </w:tc>
        <w:tc>
          <w:tcPr>
            <w:tcW w:type="pct" w:w="27%"/>
            <w:tcBorders>
              <w:top w:val="none" w:color="FFFFFF" w:sz="0"/>
              <w:left w:val="none" w:color="FFFFFF" w:sz="0"/>
              <w:bottom w:val="none" w:color="FFFFFF" w:sz="0"/>
              <w:right w:val="none" w:color="FFFFFF" w:sz="0"/>
            </w:tcBorders>
            <w:tcMar>
              <w:top w:type="dxa" w:w="120"/>
              <w:left w:type="dxa" w:w="0"/>
              <w:bottom w:type="dxa" w:w="60"/>
              <w:right w:type="dxa" w:w="0"/>
            </w:tcMar>
          </w:tcPr>
          <w:p>
            <w:pPr>
              <w:jc w:val="right"/>
            </w:pPr>
            <w:r>
              <w:rPr>
                <w:rFonts w:ascii="Calibri" w:cs="Calibri" w:eastAsia="Calibri" w:hAnsi="Calibri"/>
                <w:b/>
                <w:bCs/>
                <w:color w:val="1C1A16"/>
                <w:sz w:val="24"/>
                <w:szCs w:val="24"/>
              </w:rPr>
              <w:t xml:space="preserve">₹ 70,000</w:t>
            </w:r>
          </w:p>
        </w:tc>
      </w:tr>
      <w:tr>
        <w:tc>
          <w:tcPr>
            <w:gridSpan w:val="2"/>
            <w:tcBorders>
              <w:top w:val="none" w:color="FFFFFF" w:sz="0"/>
              <w:left w:val="none" w:color="FFFFFF" w:sz="0"/>
              <w:bottom w:val="single" w:color="DDD5B8" w:sz="1"/>
              <w:right w:val="none" w:color="FFFFFF" w:sz="0"/>
            </w:tcBorders>
            <w:tcMar>
              <w:top w:type="dxa" w:w="0"/>
              <w:left w:type="dxa" w:w="0"/>
              <w:bottom w:type="dxa" w:w="80"/>
              <w:right w:type="dxa" w:w="0"/>
            </w:tcMar>
          </w:tcPr>
          <w:p>
            <w:r>
              <w:rPr>
                <w:rFonts w:ascii="Calibri" w:cs="Calibri" w:eastAsia="Calibri" w:hAnsi="Calibri"/>
                <w:color w:val="7A6A4A"/>
                <w:sz w:val="19"/>
                <w:szCs w:val="19"/>
              </w:rPr>
              <w:t xml:space="preserve">Robust Node.js/Express backend powering 20+ REST API endpoints, real email delivery via Gmail, and Salesforce OAuth 2.0.</w:t>
            </w:r>
          </w:p>
        </w:tc>
      </w:tr>
      <w:tr>
        <w:tc>
          <w:tcPr>
            <w:gridSpan w:val="2"/>
            <w:tcBorders>
              <w:top w:val="single" w:color="DDD5B8" w:sz="1"/>
              <w:left w:val="single" w:color="C9A96E" w:sz="16"/>
              <w:bottom w:val="single" w:color="DDD5B8" w:sz="4"/>
              <w:right w:val="none" w:color="FFFFFF" w:sz="0"/>
            </w:tcBorders>
            <w:shd w:fill="F5EFE0" w:color="F5EFE0" w:val="solid"/>
            <w:tcMar>
              <w:top w:type="dxa" w:w="100"/>
              <w:left w:type="dxa" w:w="140"/>
              <w:bottom w:type="dxa" w:w="120"/>
              <w:right w:type="dxa" w:w="80"/>
            </w:tcMar>
          </w:tcPr>
          <w:p>
            <w:r>
              <w:rPr>
                <w:rFonts w:ascii="Calibri" w:cs="Calibri" w:eastAsia="Calibri" w:hAnsi="Calibri"/>
                <w:b/>
                <w:bCs/>
                <w:color w:val="4A3A1A"/>
                <w:sz w:val="18"/>
                <w:szCs w:val="18"/>
              </w:rPr>
              <w:t xml:space="preserve">Cost Basis: </w:t>
            </w:r>
            <w:r>
              <w:rPr>
                <w:rFonts w:ascii="Calibri" w:cs="Calibri" w:eastAsia="Calibri" w:hAnsi="Calibri"/>
                <w:color w:val="6A5A3A"/>
                <w:sz w:val="18"/>
                <w:szCs w:val="18"/>
              </w:rPr>
              <w:t xml:space="preserve">Node.js + Express REST API server with 20+ endpoints covering customers, AI generation, proposals, emails, scheduling, and product previews. Real email delivery via Nodemailer + Gmail SMTP with App Password authentication. Persistent email scheduling queue (JSON-based) with every-15-second polling interval. Sent emails log with per-customer filtering. Salesforce OAuth 2.0 Connected App integration for enterprise CRM data sync. Batch customer CSV import endpoint. Full .env-based secrets management. Production-ready static file serving so the app can be deployed on any Node.js host (Railway, Render, AWS EC2, etc.).</w:t>
            </w:r>
          </w:p>
        </w:tc>
      </w:tr>
    </w:tbl>
    <w:p>
      <w:pPr>
        <w:spacing w:after="160" w:before="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5%"/>
            <w:tcBorders>
              <w:top w:val="none"/>
              <w:left w:val="none"/>
              <w:bottom w:val="none"/>
              <w:right w:val="none"/>
            </w:tcBorders>
            <w:shd w:fill="1C1A16" w:color="1C1A16" w:val="solid"/>
            <w:tcMar>
              <w:top w:type="dxa" w:w="160"/>
              <w:left w:type="dxa" w:w="160"/>
              <w:bottom w:type="dxa" w:w="160"/>
              <w:right w:type="dxa" w:w="0"/>
            </w:tcMar>
          </w:tcPr>
          <w:p>
            <w:r>
              <w:rPr>
                <w:rFonts w:ascii="Calibri" w:cs="Calibri" w:eastAsia="Calibri" w:hAnsi="Calibri"/>
                <w:b/>
                <w:bCs/>
                <w:color w:val="F5E6C8"/>
                <w:sz w:val="24"/>
                <w:szCs w:val="24"/>
              </w:rPr>
              <w:t xml:space="preserve">Total Acquisition Price  (One-Time, No Recurring Fees)</w:t>
            </w:r>
          </w:p>
        </w:tc>
        <w:tc>
          <w:tcPr>
            <w:tcW w:type="pct" w:w="35%"/>
            <w:tcBorders>
              <w:top w:val="none"/>
              <w:left w:val="none"/>
              <w:bottom w:val="none"/>
              <w:right w:val="none"/>
            </w:tcBorders>
            <w:shd w:fill="1C1A16" w:color="1C1A16" w:val="solid"/>
            <w:tcMar>
              <w:top w:type="dxa" w:w="160"/>
              <w:left w:type="dxa" w:w="0"/>
              <w:bottom w:type="dxa" w:w="160"/>
              <w:right w:type="dxa" w:w="160"/>
            </w:tcMar>
          </w:tcPr>
          <w:p>
            <w:pPr>
              <w:jc w:val="right"/>
            </w:pPr>
            <w:r>
              <w:rPr>
                <w:rFonts w:ascii="Calibri" w:cs="Calibri" w:eastAsia="Calibri" w:hAnsi="Calibri"/>
                <w:b/>
                <w:bCs/>
                <w:color w:val="C9A96E"/>
                <w:sz w:val="34"/>
                <w:szCs w:val="34"/>
              </w:rPr>
              <w:t xml:space="preserve">₹ 4,80,000</w:t>
            </w:r>
          </w:p>
        </w:tc>
      </w:tr>
    </w:tbl>
    <w:p>
      <w:pPr>
        <w:spacing w:after="340" w:before="0"/>
      </w:pPr>
      <w:r>
        <w:t xml:space="preserve"/>
      </w:r>
    </w:p>
    <w:p>
      <w:pPr>
        <w:pBdr>
          <w:bottom w:val="single" w:color="DDD5B8" w:sz="4"/>
        </w:pBdr>
        <w:spacing w:after="0"/>
      </w:pPr>
      <w:r>
        <w:t xml:space="preserve"/>
      </w:r>
    </w:p>
    <w:p>
      <w:pPr>
        <w:spacing w:after="120" w:before="0"/>
      </w:pPr>
      <w:r>
        <w:t xml:space="preserve"/>
      </w:r>
    </w:p>
    <w:p>
      <w:pPr>
        <w:spacing w:after="80"/>
      </w:pPr>
      <w:r>
        <w:rPr>
          <w:rFonts w:ascii="Calibri" w:cs="Calibri" w:eastAsia="Calibri" w:hAnsi="Calibri"/>
          <w:b/>
          <w:bCs/>
          <w:color w:val="1C1A16"/>
          <w:sz w:val="18"/>
          <w:szCs w:val="18"/>
        </w:rPr>
        <w:t xml:space="preserve">What you receive upon payment: </w:t>
      </w:r>
      <w:r>
        <w:rPr>
          <w:rFonts w:ascii="Calibri" w:cs="Calibri" w:eastAsia="Calibri" w:hAnsi="Calibri"/>
          <w:color w:val="7A6A4A"/>
          <w:sz w:val="18"/>
          <w:szCs w:val="18"/>
        </w:rPr>
        <w:t xml:space="preserve">Full source code (React frontend + Node.js backend), complete IP ownership with no ongoing licensing fees, right to white-label or resell, deployment guide, .env configuration walkthrough, and 1 week of post-handoff Q&amp;A support. This is a one-time acquisition — no monthly or annual fees of any kind.</w:t>
      </w:r>
    </w:p>
    <w:p>
      <w:r>
        <w:rPr>
          <w:rFonts w:ascii="Calibri" w:cs="Calibri" w:eastAsia="Calibri" w:hAnsi="Calibri"/>
          <w:i/>
          <w:iCs/>
          <w:color w:val="A09070"/>
          <w:sz w:val="17"/>
          <w:szCs w:val="17"/>
        </w:rPr>
        <w:t xml:space="preserve">This proposal is valid for 30 days from the date of issue. All prices are in Indian Rupees (INR) and are exclusive of applicable GST.</w:t>
      </w:r>
    </w:p>
    <w:sectPr>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AuraCRM – Pricing Proposal</dc:title>
  <dc:creator>Subhash Kalakota</dc:creator>
  <dc:description>Website Acquisition Pricing Proposal for AuraCRM AI Sales Assistant</dc:description>
  <cp:lastModifiedBy>Un-named</cp:lastModifiedBy>
  <cp:revision>1</cp:revision>
  <dcterms:created xsi:type="dcterms:W3CDTF">2026-04-02T15:59:07.406Z</dcterms:created>
  <dcterms:modified xsi:type="dcterms:W3CDTF">2026-04-02T15:59:07.406Z</dcterms:modified>
</cp:coreProperties>
</file>

<file path=docProps/custom.xml><?xml version="1.0" encoding="utf-8"?>
<Properties xmlns="http://schemas.openxmlformats.org/officeDocument/2006/custom-properties" xmlns:vt="http://schemas.openxmlformats.org/officeDocument/2006/docPropsVTypes"/>
</file>