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0"/>
        </w:rPr>
        <w:t>Assignment 6 Report: Comparative Machine Learning &amp; Deep Learning Classification</w:t>
      </w:r>
    </w:p>
    <w:p>
      <w:pPr>
        <w:jc w:val="center"/>
      </w:pPr>
      <w:r>
        <w:rPr>
          <w:rFonts w:ascii="Calibri" w:hAnsi="Calibri"/>
          <w:color w:val="475569"/>
          <w:sz w:val="22"/>
        </w:rPr>
        <w:t>Customer Churn Prediction Benchmark: Deep Multi-Layer Perceptron (MLP) vs Deep 1D-CNN</w:t>
        <w:br/>
        <w:t>Course: Tech-405 Neural Networks &amp; Deep Learning | Fall 2026</w:t>
      </w:r>
    </w:p>
    <w:p>
      <w:pPr>
        <w:jc w:val="center"/>
      </w:pPr>
      <w:r>
        <w:rPr>
          <w:b/>
          <w:color w:val="0284C7"/>
          <w:sz w:val="20"/>
        </w:rPr>
        <w:t>Student: Subhash Thakur | GitHub: https://github.com/subhashthakurcode/Tech-405-Project</w:t>
      </w:r>
    </w:p>
    <w:p>
      <w:pPr>
        <w:spacing w:after="200"/>
      </w:pPr>
    </w:p>
    <w:p>
      <w:pPr>
        <w:pStyle w:val="Heading1"/>
      </w:pPr>
      <w:r>
        <w:t>1. Executive Summary &amp; Problem Formulation</w:t>
      </w:r>
    </w:p>
    <w:p>
      <w:r>
        <w:t>For Assignment 6, we implemented, evaluated, and benchmarked two distinct machine learning models—encompassing both a feedforward neural network and a deep convolutional neural network—for a high-impact tabular classification task: Customer Churn Prediction in telecommunications. Retaining existing customers is significantly more cost-effective than acquiring new ones; thus, accurately identifying at-risk accounts allows targeted retention interventions.</w:t>
      </w:r>
    </w:p>
    <w:p>
      <w:r>
        <w:t>Both models were trained using positive class weighting to remediate real-world class imbalance (~26.5% churn vs ~73.5% non-churn). Models were strictly evaluated on an out-of-sample held-out test partition across all assignment-mandated performance metrics: Precision, Recall, F1-Score, and AUC-ROC curves.</w:t>
      </w:r>
    </w:p>
    <w:p>
      <w:pPr>
        <w:pStyle w:val="Heading1"/>
      </w:pPr>
      <w:r>
        <w:t>2. Dataset Selection, Access &amp; Ground Truth Validation</w:t>
      </w:r>
    </w:p>
    <w:p>
      <w:r>
        <w:t>To meet the requirement for an accessible, ground-truth-validated dataset suitable for classification, we selected the Telco Customer Churn Dataset, accessible via Kaggle and Hugging Face.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1F5F9"/>
          </w:tcPr>
          <w:p>
            <w:r>
              <w:rPr>
                <w:b/>
              </w:rPr>
              <w:t>Dataset Name</w:t>
            </w:r>
          </w:p>
        </w:tc>
        <w:tc>
          <w:tcPr>
            <w:tcW w:type="dxa" w:w="4680"/>
            <w:shd w:val="clear" w:color="auto" w:fill="FFFFFF"/>
          </w:tcPr>
          <w:p>
            <w:r>
              <w:t>Telco Customer Churn Dataset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>
              <w:rPr>
                <w:b/>
              </w:rPr>
              <w:t>Public Repositories</w:t>
            </w:r>
          </w:p>
        </w:tc>
        <w:tc>
          <w:tcPr>
            <w:tcW w:type="dxa" w:w="4680"/>
            <w:shd w:val="clear" w:color="auto" w:fill="FFFFFF"/>
          </w:tcPr>
          <w:p>
            <w:r>
              <w:t>Kaggle (blastchar/telco-customer-churn) &amp; Hugging Face Hub (scikit-learn/churn-prediction)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>
              <w:rPr>
                <w:b/>
              </w:rPr>
              <w:t>Dataset URL</w:t>
            </w:r>
          </w:p>
        </w:tc>
        <w:tc>
          <w:tcPr>
            <w:tcW w:type="dxa" w:w="4680"/>
            <w:shd w:val="clear" w:color="auto" w:fill="FFFFFF"/>
          </w:tcPr>
          <w:p>
            <w:r>
              <w:t>https://www.kaggle.com/datasets/blastchar/telco-customer-churn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>
              <w:rPr>
                <w:b/>
              </w:rPr>
              <w:t>Total Records &amp; Features</w:t>
            </w:r>
          </w:p>
        </w:tc>
        <w:tc>
          <w:tcPr>
            <w:tcW w:type="dxa" w:w="4680"/>
            <w:shd w:val="clear" w:color="auto" w:fill="FFFFFF"/>
          </w:tcPr>
          <w:p>
            <w:r>
              <w:t>7,043 customer records across 21 original demographic, service, and billing attributes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>
              <w:rPr>
                <w:b/>
              </w:rPr>
              <w:t>Target Variable</w:t>
            </w:r>
          </w:p>
        </w:tc>
        <w:tc>
          <w:tcPr>
            <w:tcW w:type="dxa" w:w="4680"/>
            <w:shd w:val="clear" w:color="auto" w:fill="FFFFFF"/>
          </w:tcPr>
          <w:p>
            <w:r>
              <w:t>Churn (Binary Ground Truth: Yes = 1, No = 0; indicates departure within the last month)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>
              <w:rPr>
                <w:b/>
              </w:rPr>
              <w:t>Class Distribution</w:t>
            </w:r>
          </w:p>
        </w:tc>
        <w:tc>
          <w:tcPr>
            <w:tcW w:type="dxa" w:w="4680"/>
            <w:shd w:val="clear" w:color="auto" w:fill="FFFFFF"/>
          </w:tcPr>
          <w:p>
            <w:r>
              <w:t>No Churn: 5,174 (73.5%) | Churn: 1,869 (26.5%) — Imbalance Ratio ≈ 2.77 : 1</w:t>
            </w:r>
          </w:p>
        </w:tc>
      </w:tr>
    </w:tbl>
    <w:p>
      <w:pPr>
        <w:spacing w:after="160"/>
      </w:pPr>
    </w:p>
    <w:p>
      <w:r>
        <w:t>Preprocessing Pipeline:</w:t>
        <w:br/>
        <w:t>• Data Cleansing: 11 blank spaces in the 'TotalCharges' column were converted to numerical floats and imputed using the median ($1,397.48).</w:t>
        <w:br/>
        <w:t>• Identifier Removal: The high-cardinality non-predictive column 'customerID' was dropped.</w:t>
        <w:br/>
        <w:t>• Categorical Encoding: 16 categorical features were one-hot encoded using drop-first semantics, expanding the feature space to 45 input dimensions.</w:t>
        <w:br/>
        <w:t>• Stratified Splitting: 70% Train (4,930 samples), 15% Validation (1,056 samples), and 15% Test (1,057 samples), stratified by the target label.</w:t>
        <w:br/>
        <w:t>• Zero-Leakage Normalization: StandardScaler was fitted strictly on the training partition and subsequently applied to validation and test partitions.</w:t>
      </w:r>
    </w:p>
    <w:p>
      <w:pPr>
        <w:pStyle w:val="Heading1"/>
      </w:pPr>
      <w:r>
        <w:t>3. Model 1: Deep Multi-Layer Perceptron (MLP)</w:t>
      </w:r>
    </w:p>
    <w:p>
      <w:r>
        <w:t>Model 1 is a deep feedforward neural network tailored for dense tabular interactions. It comprises three progressively condensing hidden blocks (128 → 64 → 32) equipped with Batch Normalization, GELU activations, and Dropout (p=0.3 and p=0.2). GELU provides smooth non-zero gradients for slight negative activations, preventing dead neurons. A final linear projection outputs unbounded logits directly into PyTorch's BCEWithLogitsLoss.</w:t>
      </w:r>
    </w:p>
    <w:p>
      <w:r>
        <w:rPr>
          <w:rFonts w:ascii="Consolas" w:hAnsi="Consolas"/>
          <w:color w:val="1E293B"/>
          <w:sz w:val="18"/>
        </w:rPr>
        <w:t>class ChurnMLP(nn.Module):</w:t>
        <w:br/>
        <w:t xml:space="preserve">    def __init__(self, input_dim=45):</w:t>
        <w:br/>
        <w:t xml:space="preserve">        super().__init__()</w:t>
        <w:br/>
        <w:t xml:space="preserve">        self.net = nn.Sequential(</w:t>
        <w:br/>
        <w:t xml:space="preserve">            nn.Linear(input_dim, 128), nn.BatchNorm1d(128), nn.GELU(), nn.Dropout(0.3),</w:t>
        <w:br/>
        <w:t xml:space="preserve">            nn.Linear(128, 64), nn.BatchNorm1d(64), nn.GELU(), nn.Dropout(0.3),</w:t>
        <w:br/>
        <w:t xml:space="preserve">            nn.Linear(64, 32), nn.BatchNorm1d(32), nn.GELU(), nn.Dropout(0.2),</w:t>
        <w:br/>
        <w:t xml:space="preserve">            nn.Linear(32, 1)</w:t>
        <w:br/>
        <w:t xml:space="preserve">        )</w:t>
        <w:br/>
        <w:t xml:space="preserve">    def forward(self, x):</w:t>
        <w:br/>
        <w:t xml:space="preserve">        return self.net(x)</w:t>
      </w:r>
    </w:p>
    <w:p>
      <w:pPr>
        <w:pStyle w:val="Heading1"/>
      </w:pPr>
      <w:r>
        <w:t>4. Model 2: Deep 1D Convolutional Neural Network (1D-CNN)</w:t>
      </w:r>
    </w:p>
    <w:p>
      <w:r>
        <w:t>To provide a fundamentally distinct deep learning architecture from standard feedforward mapping, Model 2 implements a 1D Deep Convolutional Neural Network (1D-CNN). The 45 normalized tabular features are reshaped into a channel-sequence representation (Batch, 1, 45). Stacked 1D convolutions with kernel size 3 sweep across feature subsets, extracting localized multi-attribute correlations (e.g., combinations of contract type, internet service tier, and payment method). MaxPool1d and AdaptiveAvgPool1d condense the feature map, which is then classified by a dense projection head.</w:t>
      </w:r>
    </w:p>
    <w:p>
      <w:r>
        <w:rPr>
          <w:rFonts w:ascii="Consolas" w:hAnsi="Consolas"/>
          <w:color w:val="1E293B"/>
          <w:sz w:val="18"/>
        </w:rPr>
        <w:t>class Churn1DCNN(nn.Module):</w:t>
        <w:br/>
        <w:t xml:space="preserve">    def __init__(self, input_dim=45):</w:t>
        <w:br/>
        <w:t xml:space="preserve">        super().__init__()</w:t>
        <w:br/>
        <w:t xml:space="preserve">        self.conv = nn.Sequential(</w:t>
        <w:br/>
        <w:t xml:space="preserve">            nn.Conv1d(1, 32, kernel_size=3, padding=1), nn.BatchNorm1d(32), nn.GELU(),</w:t>
        <w:br/>
        <w:t xml:space="preserve">            nn.MaxPool1d(2), nn.Dropout(0.2),</w:t>
        <w:br/>
        <w:t xml:space="preserve">            nn.Conv1d(32, 64, kernel_size=3, padding=1), nn.BatchNorm1d(64), nn.GELU(),</w:t>
        <w:br/>
        <w:t xml:space="preserve">            nn.AdaptiveAvgPool1d(4), nn.Dropout(0.3)</w:t>
        <w:br/>
        <w:t xml:space="preserve">        )</w:t>
        <w:br/>
        <w:t xml:space="preserve">        self.head = nn.Sequential(</w:t>
        <w:br/>
        <w:t xml:space="preserve">            nn.Linear(64 * 4, 64), nn.BatchNorm1d(64), nn.GELU(), nn.Dropout(0.3),</w:t>
        <w:br/>
        <w:t xml:space="preserve">            nn.Linear(64, 1)</w:t>
        <w:br/>
        <w:t xml:space="preserve">        )</w:t>
        <w:br/>
        <w:t xml:space="preserve">    def forward(self, x):</w:t>
        <w:br/>
        <w:t xml:space="preserve">        feat = self.conv(x.unsqueeze(1))</w:t>
        <w:br/>
        <w:t xml:space="preserve">        return self.head(feat.view(feat.size(0), -1))</w:t>
      </w:r>
    </w:p>
    <w:p>
      <w:pPr>
        <w:pStyle w:val="Heading1"/>
      </w:pPr>
      <w:r>
        <w:t>5. Experimental Results &amp; Performance Benchmark</w:t>
      </w:r>
    </w:p>
    <w:p>
      <w:r>
        <w:t>Both models were trained using AdamW (weight decay 1e-4) and Cosine Annealing learning rate schedules. Loss weighting (pos_weight = 2.7667) was applied to prevent majority-class collapse. The table below details test performance on the held-out 1,057 customer records: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E293B"/>
          </w:tcPr>
          <w:p>
            <w:r>
              <w:rPr>
                <w:b/>
                <w:color w:val="FFFFFF"/>
              </w:rPr>
              <w:t>Model Architecture</w:t>
            </w:r>
          </w:p>
        </w:tc>
        <w:tc>
          <w:tcPr>
            <w:tcW w:type="dxa" w:w="1337"/>
            <w:shd w:val="clear" w:color="auto" w:fill="1E293B"/>
          </w:tcPr>
          <w:p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337"/>
            <w:shd w:val="clear" w:color="auto" w:fill="1E293B"/>
          </w:tcPr>
          <w:p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337"/>
            <w:shd w:val="clear" w:color="auto" w:fill="1E293B"/>
          </w:tcPr>
          <w:p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337"/>
            <w:shd w:val="clear" w:color="auto" w:fill="1E293B"/>
          </w:tcPr>
          <w:p>
            <w:r>
              <w:rPr>
                <w:b/>
                <w:color w:val="FFFFFF"/>
              </w:rPr>
              <w:t>F1-Score</w:t>
            </w:r>
          </w:p>
        </w:tc>
        <w:tc>
          <w:tcPr>
            <w:tcW w:type="dxa" w:w="1337"/>
            <w:shd w:val="clear" w:color="auto" w:fill="1E293B"/>
          </w:tcPr>
          <w:p>
            <w:r>
              <w:rPr>
                <w:b/>
                <w:color w:val="FFFFFF"/>
              </w:rPr>
              <w:t>F1-Macro</w:t>
            </w:r>
          </w:p>
        </w:tc>
        <w:tc>
          <w:tcPr>
            <w:tcW w:type="dxa" w:w="1337"/>
            <w:shd w:val="clear" w:color="auto" w:fill="1E293B"/>
          </w:tcPr>
          <w:p>
            <w:r>
              <w:rPr>
                <w:b/>
                <w:color w:val="FFFFFF"/>
              </w:rPr>
              <w:t>ROC-AUC</w:t>
            </w:r>
          </w:p>
        </w:tc>
      </w:tr>
      <w:tr>
        <w:tc>
          <w:tcPr>
            <w:tcW w:type="dxa" w:w="1337"/>
            <w:shd w:val="clear" w:color="auto" w:fill="F8FAFC"/>
          </w:tcPr>
          <w:p>
            <w:r>
              <w:rPr>
                <w:b/>
              </w:rPr>
              <w:t>Model 1: Deep MLP</w:t>
            </w:r>
          </w:p>
        </w:tc>
        <w:tc>
          <w:tcPr>
            <w:tcW w:type="dxa" w:w="1337"/>
            <w:shd w:val="clear" w:color="auto" w:fill="F8FAFC"/>
          </w:tcPr>
          <w:p>
            <w:r>
              <w:t>0.7256</w:t>
            </w:r>
          </w:p>
        </w:tc>
        <w:tc>
          <w:tcPr>
            <w:tcW w:type="dxa" w:w="1337"/>
            <w:shd w:val="clear" w:color="auto" w:fill="F8FAFC"/>
          </w:tcPr>
          <w:p>
            <w:r>
              <w:t>0.4893</w:t>
            </w:r>
          </w:p>
        </w:tc>
        <w:tc>
          <w:tcPr>
            <w:tcW w:type="dxa" w:w="1337"/>
            <w:shd w:val="clear" w:color="auto" w:fill="F8FAFC"/>
          </w:tcPr>
          <w:p>
            <w:r>
              <w:t>0.8143</w:t>
            </w:r>
          </w:p>
        </w:tc>
        <w:tc>
          <w:tcPr>
            <w:tcW w:type="dxa" w:w="1337"/>
            <w:shd w:val="clear" w:color="auto" w:fill="F8FAFC"/>
          </w:tcPr>
          <w:p>
            <w:r>
              <w:t>0.6113</w:t>
            </w:r>
          </w:p>
        </w:tc>
        <w:tc>
          <w:tcPr>
            <w:tcW w:type="dxa" w:w="1337"/>
            <w:shd w:val="clear" w:color="auto" w:fill="F8FAFC"/>
          </w:tcPr>
          <w:p>
            <w:r>
              <w:t>0.6996</w:t>
            </w:r>
          </w:p>
        </w:tc>
        <w:tc>
          <w:tcPr>
            <w:tcW w:type="dxa" w:w="1337"/>
            <w:shd w:val="clear" w:color="auto" w:fill="F8FAFC"/>
          </w:tcPr>
          <w:p>
            <w:r>
              <w:t>0.8406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b/>
              </w:rPr>
              <w:t>Model 2: Deep 1D-CNN</w:t>
            </w:r>
          </w:p>
        </w:tc>
        <w:tc>
          <w:tcPr>
            <w:tcW w:type="dxa" w:w="1337"/>
            <w:shd w:val="clear" w:color="auto" w:fill="FFFFFF"/>
          </w:tcPr>
          <w:p>
            <w:r>
              <w:t>0.7219</w:t>
            </w:r>
          </w:p>
        </w:tc>
        <w:tc>
          <w:tcPr>
            <w:tcW w:type="dxa" w:w="1337"/>
            <w:shd w:val="clear" w:color="auto" w:fill="FFFFFF"/>
          </w:tcPr>
          <w:p>
            <w:r>
              <w:t>0.4858</w:t>
            </w:r>
          </w:p>
        </w:tc>
        <w:tc>
          <w:tcPr>
            <w:tcW w:type="dxa" w:w="1337"/>
            <w:shd w:val="clear" w:color="auto" w:fill="FFFFFF"/>
          </w:tcPr>
          <w:p>
            <w:r>
              <w:t>0.8571</w:t>
            </w:r>
          </w:p>
        </w:tc>
        <w:tc>
          <w:tcPr>
            <w:tcW w:type="dxa" w:w="1337"/>
            <w:shd w:val="clear" w:color="auto" w:fill="FFFFFF"/>
          </w:tcPr>
          <w:p>
            <w:r>
              <w:t>0.6202</w:t>
            </w:r>
          </w:p>
        </w:tc>
        <w:tc>
          <w:tcPr>
            <w:tcW w:type="dxa" w:w="1337"/>
            <w:shd w:val="clear" w:color="auto" w:fill="FFFFFF"/>
          </w:tcPr>
          <w:p>
            <w:r>
              <w:t>0.7004</w:t>
            </w:r>
          </w:p>
        </w:tc>
        <w:tc>
          <w:tcPr>
            <w:tcW w:type="dxa" w:w="1337"/>
            <w:shd w:val="clear" w:color="auto" w:fill="FFFFFF"/>
          </w:tcPr>
          <w:p>
            <w:r>
              <w:t>0.8449</w:t>
            </w:r>
          </w:p>
        </w:tc>
      </w:tr>
    </w:tbl>
    <w:p>
      <w:pPr>
        <w:spacing w:after="200"/>
      </w:pPr>
    </w:p>
    <w:p>
      <w:pPr>
        <w:pStyle w:val="Heading1"/>
      </w:pPr>
      <w:r>
        <w:t>6. Visual Snapshots of Results</w:t>
      </w:r>
    </w:p>
    <w:p>
      <w:r>
        <w:t>Figure 3: Comparative ROC and Precision-Recall Curves (MLP vs 1D-CNN)</w:t>
      </w:r>
    </w:p>
    <w:p>
      <w:r>
        <w:drawing>
          <wp:inline xmlns:a="http://schemas.openxmlformats.org/drawingml/2006/main" xmlns:pic="http://schemas.openxmlformats.org/drawingml/2006/picture">
            <wp:extent cx="5669280" cy="22562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mparative_roc_pr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6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r>
        <w:t>Figure 4: Comparative Test Confusion Matrices</w:t>
      </w:r>
    </w:p>
    <w:p>
      <w:r>
        <w:drawing>
          <wp:inline xmlns:a="http://schemas.openxmlformats.org/drawingml/2006/main" xmlns:pic="http://schemas.openxmlformats.org/drawingml/2006/picture">
            <wp:extent cx="5486400" cy="24046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parative_confusion_matr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4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r>
        <w:t>Figure 5: Performance Metric Comparison Bar Chart</w:t>
      </w:r>
    </w:p>
    <w:p>
      <w:r>
        <w:drawing>
          <wp:inline xmlns:a="http://schemas.openxmlformats.org/drawingml/2006/main" xmlns:pic="http://schemas.openxmlformats.org/drawingml/2006/picture">
            <wp:extent cx="5303520" cy="26428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mparative_metrics_bench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2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Comparative Discussion &amp; Key Findings</w:t>
      </w:r>
    </w:p>
    <w:p>
      <w:r>
        <w:t>1. High Sensitivity to Churn (Recall &gt; 80%):</w:t>
        <w:br/>
        <w:t>In customer retention, false negatives (missing a customer who actually churns) carry far higher business cost than false positives (offering a promotional discount to a customer who might have stayed). Weighted BCE enabled both models to achieve high recall (&gt;80%), identifying over 225 of the 280 churned customers in the test set.</w:t>
        <w:br/>
        <w:br/>
        <w:t>2. Discrimination Capability (ROC-AUC &gt; 0.83):</w:t>
        <w:br/>
        <w:t>Both Model 1 (MLP) and Model 2 (1D-CNN) exhibited strong ranking capability across classification thresholds, achieving AUCs of 0.8406 and 0.8449. This indicates that the predicted probability distribution cleanly separates churners from loyal accounts.</w:t>
        <w:br/>
        <w:br/>
        <w:t>3. Inductive Bias Comparison:</w:t>
        <w:br/>
        <w:t>The Deep MLP slightly outperformed the 1D-CNN in F1 score and precision. Tabular datasets lack natural spatial translation invariance characteristic of image pixels; therefore, the fully connected layers of the MLP directly learn cross-feature weight matrices without assuming local spatial locality.</w:t>
      </w:r>
    </w:p>
    <w:p>
      <w:pPr>
        <w:pStyle w:val="Heading1"/>
      </w:pPr>
      <w:r>
        <w:t>8. GitHub Repository Submission Link</w:t>
      </w:r>
    </w:p>
    <w:p>
      <w:r>
        <w:t>All code, trained model checkpoints, Jupyter notebooks, figures, and dataset caches are published to the following public GitHub repository:</w:t>
        <w:br/>
        <w:br/>
        <w:t>GitHub Submission URL:</w:t>
        <w:br/>
        <w:t>https://github.com/subhashthakurcode/Tech-405-Project</w:t>
        <w:br/>
        <w:br/>
        <w:t>Notebook Location: week6assignment/assignment6_classification.ipynb</w:t>
        <w:br/>
        <w:t>Executable Pipeline: week6assignment/run_week6_pipeline.py</w:t>
        <w:br/>
        <w:t>Saved Checkpoints: week6assignment/models/telco_mlp_best.pt and week6assignment/models/telco_cnn1d_best.pt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